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F1662" w14:textId="77777777" w:rsidR="00EB36C8" w:rsidRDefault="00EB36C8" w:rsidP="00EB36C8">
      <w:r>
        <w:rPr>
          <w:noProof/>
        </w:rPr>
        <w:drawing>
          <wp:inline distT="0" distB="0" distL="0" distR="0" wp14:anchorId="68C79972" wp14:editId="5776ADDB">
            <wp:extent cx="1435100" cy="584835"/>
            <wp:effectExtent l="0" t="0" r="0" b="5715"/>
            <wp:docPr id="1" name="Picture 1" descr="hspmcolo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pmcolo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5100" cy="584835"/>
                    </a:xfrm>
                    <a:prstGeom prst="rect">
                      <a:avLst/>
                    </a:prstGeom>
                    <a:noFill/>
                    <a:ln>
                      <a:noFill/>
                    </a:ln>
                  </pic:spPr>
                </pic:pic>
              </a:graphicData>
            </a:graphic>
          </wp:inline>
        </w:drawing>
      </w:r>
    </w:p>
    <w:p w14:paraId="578A9168" w14:textId="77777777" w:rsidR="00EB36C8" w:rsidRPr="00B140B8" w:rsidRDefault="00EB36C8" w:rsidP="00EB36C8">
      <w:pPr>
        <w:rPr>
          <w:rFonts w:ascii="EngraversGothic BT" w:hAnsi="EngraversGothic BT"/>
          <w:sz w:val="16"/>
          <w:szCs w:val="16"/>
        </w:rPr>
      </w:pPr>
    </w:p>
    <w:p w14:paraId="79F91A85" w14:textId="77777777" w:rsidR="00EB36C8" w:rsidRPr="00B140B8" w:rsidRDefault="00EB36C8" w:rsidP="00EB36C8">
      <w:pPr>
        <w:rPr>
          <w:rFonts w:ascii="EngraversGothic BT" w:hAnsi="EngraversGothic BT"/>
          <w:sz w:val="18"/>
          <w:szCs w:val="18"/>
        </w:rPr>
      </w:pPr>
      <w:smartTag w:uri="urn:schemas-microsoft-com:office:smarttags" w:element="address">
        <w:smartTag w:uri="urn:schemas-microsoft-com:office:smarttags" w:element="Street">
          <w:r w:rsidRPr="00B140B8">
            <w:rPr>
              <w:rFonts w:ascii="EngraversGothic BT" w:hAnsi="EngraversGothic BT"/>
              <w:sz w:val="18"/>
              <w:szCs w:val="18"/>
            </w:rPr>
            <w:t>121 State Street</w:t>
          </w:r>
        </w:smartTag>
      </w:smartTag>
    </w:p>
    <w:p w14:paraId="647B550E" w14:textId="77777777" w:rsidR="00EB36C8" w:rsidRPr="00B140B8" w:rsidRDefault="00EB36C8" w:rsidP="00EB36C8">
      <w:pPr>
        <w:rPr>
          <w:rFonts w:ascii="EngraversGothic BT" w:hAnsi="EngraversGothic BT"/>
          <w:sz w:val="18"/>
          <w:szCs w:val="18"/>
        </w:rPr>
      </w:pPr>
      <w:smartTag w:uri="urn:schemas-microsoft-com:office:smarttags" w:element="place">
        <w:smartTag w:uri="urn:schemas-microsoft-com:office:smarttags" w:element="City">
          <w:r w:rsidRPr="00B140B8">
            <w:rPr>
              <w:rFonts w:ascii="EngraversGothic BT" w:hAnsi="EngraversGothic BT"/>
              <w:sz w:val="18"/>
              <w:szCs w:val="18"/>
            </w:rPr>
            <w:t>Albany</w:t>
          </w:r>
        </w:smartTag>
        <w:r w:rsidRPr="00B140B8">
          <w:rPr>
            <w:rFonts w:ascii="EngraversGothic BT" w:hAnsi="EngraversGothic BT"/>
            <w:sz w:val="18"/>
            <w:szCs w:val="18"/>
          </w:rPr>
          <w:t xml:space="preserve">, </w:t>
        </w:r>
        <w:smartTag w:uri="urn:schemas-microsoft-com:office:smarttags" w:element="State">
          <w:r w:rsidRPr="00B140B8">
            <w:rPr>
              <w:rFonts w:ascii="EngraversGothic BT" w:hAnsi="EngraversGothic BT"/>
              <w:sz w:val="18"/>
              <w:szCs w:val="18"/>
            </w:rPr>
            <w:t>New York</w:t>
          </w:r>
        </w:smartTag>
        <w:r w:rsidRPr="00B140B8">
          <w:rPr>
            <w:rFonts w:ascii="EngraversGothic BT" w:hAnsi="EngraversGothic BT"/>
            <w:sz w:val="18"/>
            <w:szCs w:val="18"/>
          </w:rPr>
          <w:t xml:space="preserve"> </w:t>
        </w:r>
        <w:smartTag w:uri="urn:schemas-microsoft-com:office:smarttags" w:element="PostalCode">
          <w:r w:rsidRPr="00B140B8">
            <w:rPr>
              <w:rFonts w:ascii="EngraversGothic BT" w:hAnsi="EngraversGothic BT"/>
              <w:sz w:val="18"/>
              <w:szCs w:val="18"/>
            </w:rPr>
            <w:t>12207-1693</w:t>
          </w:r>
        </w:smartTag>
      </w:smartTag>
    </w:p>
    <w:p w14:paraId="6A7AD3EC" w14:textId="77777777" w:rsidR="00EB36C8" w:rsidRPr="00B140B8" w:rsidRDefault="00EB36C8" w:rsidP="00EB36C8">
      <w:pPr>
        <w:rPr>
          <w:rFonts w:ascii="EngraversGothic BT" w:hAnsi="EngraversGothic BT"/>
          <w:sz w:val="18"/>
          <w:szCs w:val="18"/>
        </w:rPr>
      </w:pPr>
      <w:r w:rsidRPr="00B140B8">
        <w:rPr>
          <w:rFonts w:ascii="EngraversGothic BT" w:hAnsi="EngraversGothic BT"/>
          <w:sz w:val="18"/>
          <w:szCs w:val="18"/>
        </w:rPr>
        <w:t>Tel:  518-436-0751</w:t>
      </w:r>
    </w:p>
    <w:p w14:paraId="0520FCC6" w14:textId="77777777" w:rsidR="00EB36C8" w:rsidRPr="00B140B8" w:rsidRDefault="00EB36C8" w:rsidP="00EB36C8">
      <w:pPr>
        <w:rPr>
          <w:rFonts w:ascii="EngravrsRoman BT" w:hAnsi="EngravrsRoman BT"/>
          <w:sz w:val="18"/>
          <w:szCs w:val="18"/>
        </w:rPr>
      </w:pPr>
      <w:r w:rsidRPr="00B140B8">
        <w:rPr>
          <w:rFonts w:ascii="EngraversGothic BT" w:hAnsi="EngraversGothic BT"/>
          <w:sz w:val="18"/>
          <w:szCs w:val="18"/>
        </w:rPr>
        <w:t>Fax: 518-436-4751</w:t>
      </w:r>
    </w:p>
    <w:p w14:paraId="5D8DEAF4" w14:textId="77777777" w:rsidR="00EB36C8" w:rsidRDefault="00EB36C8" w:rsidP="00EB36C8"/>
    <w:p w14:paraId="25FFAE30" w14:textId="16B04CBA" w:rsidR="00EB36C8" w:rsidRDefault="00353BA8" w:rsidP="00EB36C8">
      <w:r>
        <w:fldChar w:fldCharType="begin"/>
      </w:r>
      <w:r>
        <w:instrText xml:space="preserve"> DATE \@ "MMMM d, yyyy" </w:instrText>
      </w:r>
      <w:r>
        <w:fldChar w:fldCharType="separate"/>
      </w:r>
      <w:r w:rsidR="00657025">
        <w:rPr>
          <w:noProof/>
        </w:rPr>
        <w:t>March 21, 2024</w:t>
      </w:r>
      <w:r>
        <w:fldChar w:fldCharType="end"/>
      </w:r>
    </w:p>
    <w:p w14:paraId="370E5FD9" w14:textId="77777777" w:rsidR="00353BA8" w:rsidRDefault="00353BA8" w:rsidP="00EB36C8"/>
    <w:p w14:paraId="5CCA336A" w14:textId="77777777" w:rsidR="00EB36C8" w:rsidRDefault="00EB36C8" w:rsidP="00ED1D3D">
      <w:pPr>
        <w:ind w:left="720" w:right="5040" w:hanging="720"/>
        <w:jc w:val="both"/>
      </w:pPr>
      <w:r>
        <w:t>RE:</w:t>
      </w:r>
      <w:r>
        <w:tab/>
        <w:t>AN ACT to amend the public health law, in relation to prohibiting approved organizations in the child health insurance plan from limiting the participation o</w:t>
      </w:r>
      <w:r w:rsidR="009513DC">
        <w:t>f certain health care providers</w:t>
      </w:r>
    </w:p>
    <w:p w14:paraId="54234A64" w14:textId="77777777" w:rsidR="00EB36C8" w:rsidRDefault="00EB36C8" w:rsidP="00EB36C8"/>
    <w:p w14:paraId="68E9B2D8" w14:textId="77777777" w:rsidR="00EB36C8" w:rsidRDefault="00EB36C8" w:rsidP="00EB36C8"/>
    <w:p w14:paraId="6BDB8765" w14:textId="19F7D154" w:rsidR="00C949E9" w:rsidRDefault="00C949E9" w:rsidP="005F1FCD">
      <w:pPr>
        <w:jc w:val="center"/>
      </w:pPr>
      <w:r>
        <w:t>S</w:t>
      </w:r>
      <w:r w:rsidR="00353BA8">
        <w:t>.492</w:t>
      </w:r>
      <w:r w:rsidR="0088184B">
        <w:t>2</w:t>
      </w:r>
      <w:r>
        <w:t xml:space="preserve"> (Sepulveda)</w:t>
      </w:r>
    </w:p>
    <w:p w14:paraId="5FE62E0B" w14:textId="77777777" w:rsidR="00EB36C8" w:rsidRDefault="00EB36C8" w:rsidP="00AE38D5"/>
    <w:p w14:paraId="1C813BAF" w14:textId="77777777" w:rsidR="00EB36C8" w:rsidRPr="00D93D00" w:rsidRDefault="00EB36C8" w:rsidP="00EB36C8">
      <w:pPr>
        <w:jc w:val="center"/>
        <w:rPr>
          <w:b/>
          <w:u w:val="single"/>
        </w:rPr>
      </w:pPr>
      <w:r w:rsidRPr="00D93D00">
        <w:rPr>
          <w:b/>
          <w:u w:val="single"/>
        </w:rPr>
        <w:t>MEMORANDUM IN OPPOSITION</w:t>
      </w:r>
    </w:p>
    <w:p w14:paraId="24DB5A54" w14:textId="77777777" w:rsidR="00EB36C8" w:rsidRDefault="00EB36C8" w:rsidP="00EB36C8">
      <w:pPr>
        <w:jc w:val="center"/>
      </w:pPr>
    </w:p>
    <w:p w14:paraId="0E25135F" w14:textId="77777777" w:rsidR="00EB36C8" w:rsidRDefault="00EB36C8" w:rsidP="00EB36C8">
      <w:pPr>
        <w:jc w:val="center"/>
      </w:pPr>
      <w:r>
        <w:t>Submitted on behalf of the Blue Cross and Blue Shield Plans</w:t>
      </w:r>
    </w:p>
    <w:p w14:paraId="3F64E899" w14:textId="77777777" w:rsidR="00EB36C8" w:rsidRDefault="00EB36C8" w:rsidP="00EB36C8">
      <w:pPr>
        <w:jc w:val="center"/>
      </w:pPr>
    </w:p>
    <w:p w14:paraId="1D3BFB31" w14:textId="03F2D474" w:rsidR="00EB36C8" w:rsidRDefault="00EB36C8" w:rsidP="00AE38D5">
      <w:pPr>
        <w:jc w:val="both"/>
      </w:pPr>
      <w:r>
        <w:t xml:space="preserve">The New York State Conference of Blue Cross and Blue Shield Plans strongly opposes the enactment of this legislation, which would prohibit </w:t>
      </w:r>
      <w:r w:rsidR="00353BA8">
        <w:t>health plans</w:t>
      </w:r>
      <w:r>
        <w:t xml:space="preserve"> </w:t>
      </w:r>
      <w:r w:rsidR="006D548F">
        <w:t xml:space="preserve">administering the Child Health Plus (“CHP”) program </w:t>
      </w:r>
      <w:r>
        <w:t xml:space="preserve">from requiring that </w:t>
      </w:r>
      <w:r w:rsidR="006D548F">
        <w:t xml:space="preserve">participating </w:t>
      </w:r>
      <w:r>
        <w:t>health care provider</w:t>
      </w:r>
      <w:r w:rsidR="006D548F">
        <w:t>s accept</w:t>
      </w:r>
      <w:r>
        <w:t xml:space="preserve"> all products offered by </w:t>
      </w:r>
      <w:r w:rsidR="006D548F">
        <w:t>that</w:t>
      </w:r>
      <w:r>
        <w:t xml:space="preserve"> </w:t>
      </w:r>
      <w:r w:rsidR="006D548F">
        <w:t>health plan</w:t>
      </w:r>
      <w:r>
        <w:t xml:space="preserve">.  Specifically, this </w:t>
      </w:r>
      <w:r w:rsidR="00353BA8">
        <w:t>b</w:t>
      </w:r>
      <w:r>
        <w:t xml:space="preserve">ill would allow health care providers to pick and choose which programs they wish to participate in based on a product’s reimbursement rates.  Allowing this sort of cherry-picking by providers would undermine </w:t>
      </w:r>
      <w:r w:rsidR="002B7A96">
        <w:t xml:space="preserve">the </w:t>
      </w:r>
      <w:r w:rsidR="006D548F">
        <w:t>health care networks</w:t>
      </w:r>
      <w:r>
        <w:t xml:space="preserve"> </w:t>
      </w:r>
      <w:r w:rsidR="002B7A96">
        <w:t xml:space="preserve">that are viewed as “undesirable” and disrupt care for children who move from CHP to other </w:t>
      </w:r>
      <w:r w:rsidR="00633DBC">
        <w:t>coverage</w:t>
      </w:r>
      <w:r w:rsidR="002B7A96">
        <w:t xml:space="preserve"> due to changes in their eligibility</w:t>
      </w:r>
      <w:r>
        <w:t xml:space="preserve">.  </w:t>
      </w:r>
    </w:p>
    <w:p w14:paraId="212056D4" w14:textId="77777777" w:rsidR="00EB36C8" w:rsidRDefault="00EB36C8" w:rsidP="00AE38D5">
      <w:pPr>
        <w:jc w:val="both"/>
      </w:pPr>
    </w:p>
    <w:p w14:paraId="1FED51F7" w14:textId="350A1C47" w:rsidR="00EB36C8" w:rsidRDefault="00633DBC" w:rsidP="00AE38D5">
      <w:pPr>
        <w:jc w:val="both"/>
      </w:pPr>
      <w:r>
        <w:t>T</w:t>
      </w:r>
      <w:r w:rsidR="00A055B2">
        <w:t>his same bill</w:t>
      </w:r>
      <w:r w:rsidR="003C0F86">
        <w:t xml:space="preserve"> was vetoed by the Governor in 2021.</w:t>
      </w:r>
      <w:r w:rsidR="003C0F86">
        <w:rPr>
          <w:rStyle w:val="FootnoteReference"/>
        </w:rPr>
        <w:footnoteReference w:id="1"/>
      </w:r>
      <w:r w:rsidR="003C0F86">
        <w:t xml:space="preserve">  In her Veto Message, the Governor noted that Child Health Plus networks are monitored</w:t>
      </w:r>
      <w:r w:rsidR="00D303A2" w:rsidRPr="00D303A2">
        <w:t xml:space="preserve"> </w:t>
      </w:r>
      <w:r w:rsidR="00D303A2">
        <w:t>by the Department of Health</w:t>
      </w:r>
      <w:r w:rsidR="003C0F86">
        <w:t xml:space="preserve"> for </w:t>
      </w:r>
      <w:r w:rsidR="00D303A2">
        <w:t>network adequacy upon initial approval and then continuously after that to ensure compliance with network and access requirements.</w:t>
      </w:r>
      <w:r w:rsidR="00D303A2">
        <w:rPr>
          <w:rStyle w:val="FootnoteReference"/>
        </w:rPr>
        <w:footnoteReference w:id="2"/>
      </w:r>
      <w:r>
        <w:t xml:space="preserve">  Allowing health plans to require providers to join all networks has not detrimentally impacted the CHP networks.</w:t>
      </w:r>
      <w:r w:rsidR="00D303A2">
        <w:t xml:space="preserve">  The </w:t>
      </w:r>
      <w:r w:rsidR="008278C0">
        <w:t>V</w:t>
      </w:r>
      <w:r w:rsidR="00D303A2">
        <w:t xml:space="preserve">eto </w:t>
      </w:r>
      <w:r w:rsidR="008278C0">
        <w:t>M</w:t>
      </w:r>
      <w:r w:rsidR="00D303A2">
        <w:t>essage noted that this limitation would have the unintended consequence of causing narrower networks in the commercial market.</w:t>
      </w:r>
      <w:r w:rsidR="008278C0">
        <w:rPr>
          <w:rStyle w:val="FootnoteReference"/>
        </w:rPr>
        <w:footnoteReference w:id="3"/>
      </w:r>
    </w:p>
    <w:p w14:paraId="280CC8EF" w14:textId="77777777" w:rsidR="003C0F86" w:rsidRDefault="003C0F86" w:rsidP="00AE38D5">
      <w:pPr>
        <w:jc w:val="both"/>
      </w:pPr>
    </w:p>
    <w:p w14:paraId="1DA6EDB1" w14:textId="3236E9F1" w:rsidR="00633DBC" w:rsidRDefault="008278C0" w:rsidP="00AE38D5">
      <w:pPr>
        <w:jc w:val="both"/>
      </w:pPr>
      <w:r>
        <w:t>Even more concerning, the Veto Message</w:t>
      </w:r>
      <w:r w:rsidR="00A055B2">
        <w:t xml:space="preserve"> highlighted</w:t>
      </w:r>
      <w:r>
        <w:t xml:space="preserve"> that this bill would set a precedent that could threaten patients in all programs by allowing providers to favor participation in only plans </w:t>
      </w:r>
      <w:r>
        <w:lastRenderedPageBreak/>
        <w:t>with higher reimbursement.</w:t>
      </w:r>
      <w:r>
        <w:rPr>
          <w:rStyle w:val="FootnoteReference"/>
        </w:rPr>
        <w:footnoteReference w:id="4"/>
      </w:r>
      <w:r>
        <w:t xml:space="preserve">  This bill would endorse that position, encouraging providers to seek out participation in </w:t>
      </w:r>
      <w:r w:rsidR="002C5C03">
        <w:t xml:space="preserve">only </w:t>
      </w:r>
      <w:r w:rsidR="00633DBC">
        <w:t xml:space="preserve">these </w:t>
      </w:r>
      <w:r w:rsidR="00A7336F">
        <w:t xml:space="preserve">higher paying </w:t>
      </w:r>
      <w:r w:rsidR="00633DBC">
        <w:t>networks</w:t>
      </w:r>
      <w:r>
        <w:t xml:space="preserve">. </w:t>
      </w:r>
      <w:r w:rsidR="002B7A96">
        <w:t xml:space="preserve"> </w:t>
      </w:r>
    </w:p>
    <w:p w14:paraId="237087E3" w14:textId="77777777" w:rsidR="00633DBC" w:rsidRDefault="00633DBC" w:rsidP="00AE38D5">
      <w:pPr>
        <w:jc w:val="both"/>
      </w:pPr>
    </w:p>
    <w:p w14:paraId="14DCBAFF" w14:textId="0BEA80FE" w:rsidR="00EB36C8" w:rsidRDefault="00633DBC" w:rsidP="00AE38D5">
      <w:pPr>
        <w:jc w:val="both"/>
      </w:pPr>
      <w:r>
        <w:t>Further, c</w:t>
      </w:r>
      <w:r w:rsidR="008278C0">
        <w:t xml:space="preserve">hildren in </w:t>
      </w:r>
      <w:r w:rsidR="002C5C03">
        <w:t xml:space="preserve">commercial and Medicaid Managed Care coverage </w:t>
      </w:r>
      <w:r w:rsidR="008278C0">
        <w:t>would be detrimentally impacted by this bill</w:t>
      </w:r>
      <w:r w:rsidR="00A7336F">
        <w:t>, as thi</w:t>
      </w:r>
      <w:r w:rsidR="008278C0">
        <w:t xml:space="preserve">s cherry-picking would leave </w:t>
      </w:r>
      <w:r w:rsidR="002C5C03">
        <w:t xml:space="preserve">these </w:t>
      </w:r>
      <w:r w:rsidR="00A7336F">
        <w:t>children</w:t>
      </w:r>
      <w:r w:rsidR="008278C0">
        <w:t xml:space="preserve"> with fewer options</w:t>
      </w:r>
      <w:r>
        <w:t xml:space="preserve"> for care</w:t>
      </w:r>
      <w:r w:rsidR="008278C0">
        <w:t xml:space="preserve">.  </w:t>
      </w:r>
      <w:r w:rsidR="00BC67E0">
        <w:t>This bill</w:t>
      </w:r>
      <w:r>
        <w:t xml:space="preserve"> would </w:t>
      </w:r>
      <w:r w:rsidR="00BC67E0">
        <w:t xml:space="preserve">also </w:t>
      </w:r>
      <w:r>
        <w:t>disrupt care when children move between CHP, Medicaid, and commercial coverage.  The continuity of these networks allows children to continue to receive care from the same providers even as they shift between coverages due to eligibility changes</w:t>
      </w:r>
      <w:r w:rsidR="00A7336F">
        <w:t>, which happens frequently</w:t>
      </w:r>
      <w:r>
        <w:t>.  Allowing providers to only participate in CHP would force families to locate new health care providers when they move from CHP to Medicaid Managed Care or commercial coverage.</w:t>
      </w:r>
    </w:p>
    <w:p w14:paraId="621B06F0" w14:textId="77777777" w:rsidR="002B7A96" w:rsidRDefault="002B7A96" w:rsidP="00AE38D5">
      <w:pPr>
        <w:jc w:val="both"/>
      </w:pPr>
    </w:p>
    <w:p w14:paraId="72FE7404" w14:textId="77777777" w:rsidR="00EB36C8" w:rsidRDefault="00EB36C8" w:rsidP="00AE38D5">
      <w:pPr>
        <w:jc w:val="both"/>
      </w:pPr>
      <w:r>
        <w:t xml:space="preserve">For the foregoing reasons, the </w:t>
      </w:r>
      <w:smartTag w:uri="urn:schemas-microsoft-com:office:smarttags" w:element="place">
        <w:smartTag w:uri="urn:schemas-microsoft-com:office:smarttags" w:element="State">
          <w:r>
            <w:t>New York</w:t>
          </w:r>
        </w:smartTag>
      </w:smartTag>
      <w:r>
        <w:t xml:space="preserve"> State Conference of Blue Cross and Blue Shield Plans strongly opposes enactment of this legislation.</w:t>
      </w:r>
    </w:p>
    <w:p w14:paraId="26B5C42D" w14:textId="77777777" w:rsidR="00EB36C8" w:rsidRDefault="00EB36C8" w:rsidP="00AE38D5">
      <w:pPr>
        <w:jc w:val="both"/>
      </w:pPr>
    </w:p>
    <w:p w14:paraId="2633BC9A" w14:textId="77777777" w:rsidR="00EB36C8" w:rsidRDefault="00EB36C8" w:rsidP="00AE38D5">
      <w:pPr>
        <w:jc w:val="both"/>
      </w:pPr>
      <w:r>
        <w:t>Respectfully submitted,</w:t>
      </w:r>
    </w:p>
    <w:p w14:paraId="29D73A03" w14:textId="77777777" w:rsidR="00EB36C8" w:rsidRDefault="00EB36C8" w:rsidP="00EB36C8"/>
    <w:p w14:paraId="40D9454E" w14:textId="77777777" w:rsidR="00EB36C8" w:rsidRDefault="00EB36C8" w:rsidP="00EB36C8"/>
    <w:p w14:paraId="6A448E5C" w14:textId="77777777" w:rsidR="00EB36C8" w:rsidRDefault="00EB36C8" w:rsidP="00EB36C8">
      <w:r>
        <w:t>HINMAN STRAUB ADVISORS, LLC</w:t>
      </w:r>
    </w:p>
    <w:p w14:paraId="63165522" w14:textId="77777777" w:rsidR="00EB36C8" w:rsidRDefault="00EB36C8" w:rsidP="00EB36C8">
      <w:r>
        <w:t>Legislative Counsel for the Blue Cross and Blue Shield Plans</w:t>
      </w:r>
    </w:p>
    <w:p w14:paraId="6ACCE0E6" w14:textId="77777777" w:rsidR="00EB36C8" w:rsidRDefault="00EB36C8" w:rsidP="00EB36C8"/>
    <w:p w14:paraId="50DCD8CE" w14:textId="77777777" w:rsidR="00AE38D5" w:rsidRDefault="00AE38D5"/>
    <w:p w14:paraId="43763D6A" w14:textId="77777777" w:rsidR="00AE38D5" w:rsidRDefault="00AE38D5"/>
    <w:p w14:paraId="2A1ED889" w14:textId="77777777" w:rsidR="00B145D4" w:rsidRDefault="00B145D4">
      <w:pPr>
        <w:rPr>
          <w:sz w:val="16"/>
        </w:rPr>
      </w:pPr>
    </w:p>
    <w:p w14:paraId="7C65CF1D" w14:textId="2ADFDA8E" w:rsidR="009513DC" w:rsidRPr="00AE38D5" w:rsidRDefault="009513DC" w:rsidP="009513DC">
      <w:pPr>
        <w:spacing w:line="180" w:lineRule="exact"/>
        <w:rPr>
          <w:sz w:val="16"/>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E171C">
        <w:rPr>
          <w:rFonts w:ascii="Arial" w:hAnsi="Arial" w:cs="Arial"/>
          <w:sz w:val="16"/>
        </w:rPr>
        <w:t>4884-5573-7516, v. 1</w:t>
      </w:r>
      <w:r>
        <w:rPr>
          <w:rFonts w:ascii="Arial" w:hAnsi="Arial" w:cs="Arial"/>
          <w:sz w:val="16"/>
        </w:rPr>
        <w:fldChar w:fldCharType="end"/>
      </w:r>
    </w:p>
    <w:sectPr w:rsidR="009513DC" w:rsidRPr="00AE38D5" w:rsidSect="00FE00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36D04" w14:textId="77777777" w:rsidR="00FE00C6" w:rsidRDefault="00FE00C6" w:rsidP="003C0F86">
      <w:r>
        <w:separator/>
      </w:r>
    </w:p>
  </w:endnote>
  <w:endnote w:type="continuationSeparator" w:id="0">
    <w:p w14:paraId="1FD04FE8" w14:textId="77777777" w:rsidR="00FE00C6" w:rsidRDefault="00FE00C6" w:rsidP="003C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ngraversGothic BT">
    <w:panose1 w:val="020B0507020203020204"/>
    <w:charset w:val="00"/>
    <w:family w:val="swiss"/>
    <w:pitch w:val="variable"/>
    <w:sig w:usb0="00000087" w:usb1="00000000" w:usb2="00000000" w:usb3="00000000" w:csb0="0000001B" w:csb1="00000000"/>
  </w:font>
  <w:font w:name="EngravrsRoman BT">
    <w:altName w:val="Century"/>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B4828" w14:textId="77777777" w:rsidR="00FE00C6" w:rsidRDefault="00FE00C6" w:rsidP="003C0F86">
      <w:r>
        <w:separator/>
      </w:r>
    </w:p>
  </w:footnote>
  <w:footnote w:type="continuationSeparator" w:id="0">
    <w:p w14:paraId="0A4FBD84" w14:textId="77777777" w:rsidR="00FE00C6" w:rsidRDefault="00FE00C6" w:rsidP="003C0F86">
      <w:r>
        <w:continuationSeparator/>
      </w:r>
    </w:p>
  </w:footnote>
  <w:footnote w:id="1">
    <w:p w14:paraId="4633533A" w14:textId="19612284" w:rsidR="003C0F86" w:rsidRDefault="003C0F86">
      <w:pPr>
        <w:pStyle w:val="FootnoteText"/>
      </w:pPr>
      <w:r>
        <w:rPr>
          <w:rStyle w:val="FootnoteReference"/>
        </w:rPr>
        <w:footnoteRef/>
      </w:r>
      <w:r>
        <w:t xml:space="preserve"> 2021 N.Y. </w:t>
      </w:r>
      <w:r w:rsidR="00D303A2">
        <w:t>A.</w:t>
      </w:r>
      <w:r>
        <w:t xml:space="preserve">B. </w:t>
      </w:r>
      <w:r w:rsidR="00D303A2">
        <w:t>1523, S.B. 2212.</w:t>
      </w:r>
    </w:p>
  </w:footnote>
  <w:footnote w:id="2">
    <w:p w14:paraId="32729AA7" w14:textId="4874585E" w:rsidR="00D303A2" w:rsidRDefault="00D303A2">
      <w:pPr>
        <w:pStyle w:val="FootnoteText"/>
      </w:pPr>
      <w:r>
        <w:rPr>
          <w:rStyle w:val="FootnoteReference"/>
        </w:rPr>
        <w:footnoteRef/>
      </w:r>
      <w:r>
        <w:t xml:space="preserve"> Veto Message No. 51 of 2021.</w:t>
      </w:r>
    </w:p>
  </w:footnote>
  <w:footnote w:id="3">
    <w:p w14:paraId="3B0BC5B8" w14:textId="67EBBEE9" w:rsidR="008278C0" w:rsidRDefault="008278C0">
      <w:pPr>
        <w:pStyle w:val="FootnoteText"/>
      </w:pPr>
      <w:r>
        <w:rPr>
          <w:rStyle w:val="FootnoteReference"/>
        </w:rPr>
        <w:footnoteRef/>
      </w:r>
      <w:r>
        <w:t xml:space="preserve"> </w:t>
      </w:r>
      <w:r w:rsidRPr="008278C0">
        <w:rPr>
          <w:i/>
          <w:iCs/>
        </w:rPr>
        <w:t>Id</w:t>
      </w:r>
      <w:r>
        <w:t>.</w:t>
      </w:r>
    </w:p>
  </w:footnote>
  <w:footnote w:id="4">
    <w:p w14:paraId="65F64961" w14:textId="1563C84C" w:rsidR="008278C0" w:rsidRDefault="008278C0">
      <w:pPr>
        <w:pStyle w:val="FootnoteText"/>
      </w:pPr>
      <w:r>
        <w:rPr>
          <w:rStyle w:val="FootnoteReference"/>
        </w:rPr>
        <w:footnoteRef/>
      </w:r>
      <w:r>
        <w:t xml:space="preserve"> </w:t>
      </w:r>
      <w:r w:rsidRPr="008278C0">
        <w:rPr>
          <w:i/>
          <w:iCs/>
        </w:rPr>
        <w:t>Id</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05D2B"/>
    <w:multiLevelType w:val="hybridMultilevel"/>
    <w:tmpl w:val="2702BD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449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84-5573-7516, v. 1"/>
    <w:docVar w:name="ndGeneratedStampLocation" w:val="LastPage"/>
  </w:docVars>
  <w:rsids>
    <w:rsidRoot w:val="00EB36C8"/>
    <w:rsid w:val="000B79B8"/>
    <w:rsid w:val="000E171C"/>
    <w:rsid w:val="00207D82"/>
    <w:rsid w:val="00250533"/>
    <w:rsid w:val="002B7A96"/>
    <w:rsid w:val="002C5C03"/>
    <w:rsid w:val="00353BA8"/>
    <w:rsid w:val="003C0F86"/>
    <w:rsid w:val="003F2E34"/>
    <w:rsid w:val="00417966"/>
    <w:rsid w:val="005F1FCD"/>
    <w:rsid w:val="00633DBC"/>
    <w:rsid w:val="00657025"/>
    <w:rsid w:val="006D548F"/>
    <w:rsid w:val="008278C0"/>
    <w:rsid w:val="0088184B"/>
    <w:rsid w:val="009513DC"/>
    <w:rsid w:val="00A055B2"/>
    <w:rsid w:val="00A21EFD"/>
    <w:rsid w:val="00A7336F"/>
    <w:rsid w:val="00AE38D5"/>
    <w:rsid w:val="00B145D4"/>
    <w:rsid w:val="00BC67E0"/>
    <w:rsid w:val="00C900A6"/>
    <w:rsid w:val="00C949E9"/>
    <w:rsid w:val="00CF0A66"/>
    <w:rsid w:val="00D303A2"/>
    <w:rsid w:val="00DA299F"/>
    <w:rsid w:val="00E63DC1"/>
    <w:rsid w:val="00EB36C8"/>
    <w:rsid w:val="00ED1D3D"/>
    <w:rsid w:val="00FE0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462903EE"/>
  <w15:docId w15:val="{1748EE15-E2F9-498D-92F7-CC0E3C87F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6C8"/>
    <w:rPr>
      <w:rFonts w:eastAsia="Times New Roman"/>
      <w:szCs w:val="24"/>
    </w:rPr>
  </w:style>
  <w:style w:type="paragraph" w:styleId="Heading1">
    <w:name w:val="heading 1"/>
    <w:basedOn w:val="Normal"/>
    <w:next w:val="Normal"/>
    <w:link w:val="Heading1Char"/>
    <w:uiPriority w:val="9"/>
    <w:qFormat/>
    <w:rsid w:val="00CF0A66"/>
    <w:pPr>
      <w:keepNext/>
      <w:keepLines/>
      <w:spacing w:before="480"/>
      <w:outlineLvl w:val="0"/>
    </w:pPr>
    <w:rPr>
      <w:rFonts w:asciiTheme="majorHAnsi" w:eastAsiaTheme="majorEastAsia" w:hAnsiTheme="majorHAnsi" w:cstheme="majorBidi"/>
      <w:b/>
      <w:bCs/>
      <w:iCs/>
      <w:color w:val="365F91" w:themeColor="accent1" w:themeShade="BF"/>
      <w:sz w:val="28"/>
      <w:szCs w:val="28"/>
    </w:rPr>
  </w:style>
  <w:style w:type="paragraph" w:styleId="Heading2">
    <w:name w:val="heading 2"/>
    <w:basedOn w:val="Normal"/>
    <w:next w:val="Normal"/>
    <w:link w:val="Heading2Char"/>
    <w:uiPriority w:val="9"/>
    <w:unhideWhenUsed/>
    <w:qFormat/>
    <w:rsid w:val="00CF0A66"/>
    <w:pPr>
      <w:keepNext/>
      <w:keepLines/>
      <w:spacing w:before="200"/>
      <w:outlineLvl w:val="1"/>
    </w:pPr>
    <w:rPr>
      <w:rFonts w:asciiTheme="majorHAnsi" w:eastAsiaTheme="majorEastAsia" w:hAnsiTheme="majorHAnsi" w:cstheme="majorBidi"/>
      <w:b/>
      <w:bCs/>
      <w:iCs/>
      <w:color w:val="4F81BD" w:themeColor="accent1"/>
      <w:sz w:val="26"/>
      <w:szCs w:val="26"/>
    </w:rPr>
  </w:style>
  <w:style w:type="paragraph" w:styleId="Heading3">
    <w:name w:val="heading 3"/>
    <w:basedOn w:val="Normal"/>
    <w:next w:val="Normal"/>
    <w:link w:val="Heading3Char"/>
    <w:uiPriority w:val="9"/>
    <w:unhideWhenUsed/>
    <w:qFormat/>
    <w:rsid w:val="00CF0A66"/>
    <w:pPr>
      <w:keepNext/>
      <w:keepLines/>
      <w:spacing w:before="200"/>
      <w:outlineLvl w:val="2"/>
    </w:pPr>
    <w:rPr>
      <w:rFonts w:asciiTheme="majorHAnsi" w:eastAsiaTheme="majorEastAsia" w:hAnsiTheme="majorHAnsi" w:cstheme="majorBidi"/>
      <w:b/>
      <w:bCs/>
      <w:iCs/>
      <w:color w:val="4F81BD" w:themeColor="accen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A66"/>
    <w:rPr>
      <w:rFonts w:asciiTheme="majorHAnsi" w:eastAsiaTheme="majorEastAsia" w:hAnsiTheme="majorHAnsi" w:cstheme="majorBidi"/>
      <w:b/>
      <w:bCs/>
      <w:iCs/>
      <w:color w:val="365F91" w:themeColor="accent1" w:themeShade="BF"/>
      <w:sz w:val="28"/>
      <w:szCs w:val="28"/>
    </w:rPr>
  </w:style>
  <w:style w:type="character" w:customStyle="1" w:styleId="Heading2Char">
    <w:name w:val="Heading 2 Char"/>
    <w:basedOn w:val="DefaultParagraphFont"/>
    <w:link w:val="Heading2"/>
    <w:uiPriority w:val="9"/>
    <w:rsid w:val="00CF0A66"/>
    <w:rPr>
      <w:rFonts w:asciiTheme="majorHAnsi" w:eastAsiaTheme="majorEastAsia" w:hAnsiTheme="majorHAnsi" w:cstheme="majorBidi"/>
      <w:b/>
      <w:bCs/>
      <w:iCs/>
      <w:color w:val="4F81BD" w:themeColor="accent1"/>
      <w:sz w:val="26"/>
      <w:szCs w:val="26"/>
    </w:rPr>
  </w:style>
  <w:style w:type="character" w:customStyle="1" w:styleId="Heading3Char">
    <w:name w:val="Heading 3 Char"/>
    <w:basedOn w:val="DefaultParagraphFont"/>
    <w:link w:val="Heading3"/>
    <w:uiPriority w:val="9"/>
    <w:rsid w:val="00CF0A66"/>
    <w:rPr>
      <w:rFonts w:asciiTheme="majorHAnsi" w:eastAsiaTheme="majorEastAsia" w:hAnsiTheme="majorHAnsi" w:cstheme="majorBidi"/>
      <w:b/>
      <w:bCs/>
      <w:iCs/>
      <w:color w:val="4F81BD" w:themeColor="accent1"/>
    </w:rPr>
  </w:style>
  <w:style w:type="paragraph" w:styleId="NoSpacing">
    <w:name w:val="No Spacing"/>
    <w:uiPriority w:val="1"/>
    <w:qFormat/>
    <w:rsid w:val="00CF0A66"/>
    <w:rPr>
      <w:iCs/>
    </w:rPr>
  </w:style>
  <w:style w:type="paragraph" w:styleId="BalloonText">
    <w:name w:val="Balloon Text"/>
    <w:basedOn w:val="Normal"/>
    <w:link w:val="BalloonTextChar"/>
    <w:uiPriority w:val="99"/>
    <w:semiHidden/>
    <w:unhideWhenUsed/>
    <w:rsid w:val="00EB36C8"/>
    <w:rPr>
      <w:rFonts w:ascii="Tahoma" w:hAnsi="Tahoma" w:cs="Tahoma"/>
      <w:sz w:val="16"/>
      <w:szCs w:val="16"/>
    </w:rPr>
  </w:style>
  <w:style w:type="character" w:customStyle="1" w:styleId="BalloonTextChar">
    <w:name w:val="Balloon Text Char"/>
    <w:basedOn w:val="DefaultParagraphFont"/>
    <w:link w:val="BalloonText"/>
    <w:uiPriority w:val="99"/>
    <w:semiHidden/>
    <w:rsid w:val="00EB36C8"/>
    <w:rPr>
      <w:rFonts w:ascii="Tahoma" w:eastAsia="Times New Roman" w:hAnsi="Tahoma" w:cs="Tahoma"/>
      <w:sz w:val="16"/>
      <w:szCs w:val="16"/>
    </w:rPr>
  </w:style>
  <w:style w:type="paragraph" w:styleId="ListParagraph">
    <w:name w:val="List Paragraph"/>
    <w:basedOn w:val="Normal"/>
    <w:uiPriority w:val="34"/>
    <w:qFormat/>
    <w:rsid w:val="009513DC"/>
    <w:pPr>
      <w:ind w:left="720"/>
      <w:contextualSpacing/>
    </w:pPr>
  </w:style>
  <w:style w:type="paragraph" w:styleId="FootnoteText">
    <w:name w:val="footnote text"/>
    <w:basedOn w:val="Normal"/>
    <w:link w:val="FootnoteTextChar"/>
    <w:uiPriority w:val="99"/>
    <w:semiHidden/>
    <w:unhideWhenUsed/>
    <w:rsid w:val="003C0F86"/>
    <w:rPr>
      <w:sz w:val="20"/>
      <w:szCs w:val="20"/>
    </w:rPr>
  </w:style>
  <w:style w:type="character" w:customStyle="1" w:styleId="FootnoteTextChar">
    <w:name w:val="Footnote Text Char"/>
    <w:basedOn w:val="DefaultParagraphFont"/>
    <w:link w:val="FootnoteText"/>
    <w:uiPriority w:val="99"/>
    <w:semiHidden/>
    <w:rsid w:val="003C0F86"/>
    <w:rPr>
      <w:rFonts w:eastAsia="Times New Roman"/>
      <w:sz w:val="20"/>
    </w:rPr>
  </w:style>
  <w:style w:type="character" w:styleId="FootnoteReference">
    <w:name w:val="footnote reference"/>
    <w:basedOn w:val="DefaultParagraphFont"/>
    <w:uiPriority w:val="99"/>
    <w:semiHidden/>
    <w:unhideWhenUsed/>
    <w:rsid w:val="003C0F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1C790-515A-4BB1-B73D-0D94C28F9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Hinman Straub, pc</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Connor Croston</dc:creator>
  <cp:lastModifiedBy>Daniel Hinckley</cp:lastModifiedBy>
  <cp:revision>2</cp:revision>
  <cp:lastPrinted>2024-03-11T20:43:00Z</cp:lastPrinted>
  <dcterms:created xsi:type="dcterms:W3CDTF">2024-03-21T17:20:00Z</dcterms:created>
  <dcterms:modified xsi:type="dcterms:W3CDTF">2024-03-21T17:20:00Z</dcterms:modified>
</cp:coreProperties>
</file>