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9FF06" w14:textId="77777777" w:rsidR="00423413" w:rsidRPr="00423413" w:rsidRDefault="00423413" w:rsidP="00423413">
      <w:r w:rsidRPr="00423413">
        <w:rPr>
          <w:noProof/>
        </w:rPr>
        <w:drawing>
          <wp:inline distT="0" distB="0" distL="0" distR="0" wp14:anchorId="3A2048C3" wp14:editId="1F86FA83">
            <wp:extent cx="1438275" cy="581025"/>
            <wp:effectExtent l="0" t="0" r="9525" b="9525"/>
            <wp:docPr id="1" name="Picture 1" descr="hspmcolo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pmcolo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p>
    <w:p w14:paraId="45796232" w14:textId="77777777" w:rsidR="00423413" w:rsidRPr="00423413" w:rsidRDefault="00423413" w:rsidP="00423413"/>
    <w:p w14:paraId="5CB8E9E9" w14:textId="77777777" w:rsidR="00423413" w:rsidRPr="00423413" w:rsidRDefault="00423413" w:rsidP="00423413">
      <w:pPr>
        <w:rPr>
          <w:rFonts w:ascii="EngraversGothic BT" w:hAnsi="EngraversGothic BT"/>
          <w:sz w:val="18"/>
        </w:rPr>
      </w:pPr>
      <w:smartTag w:uri="urn:schemas-microsoft-com:office:smarttags" w:element="address">
        <w:smartTag w:uri="urn:schemas-microsoft-com:office:smarttags" w:element="Street">
          <w:r w:rsidRPr="00423413">
            <w:rPr>
              <w:rFonts w:ascii="EngraversGothic BT" w:hAnsi="EngraversGothic BT"/>
              <w:sz w:val="18"/>
            </w:rPr>
            <w:t>121 State Street</w:t>
          </w:r>
        </w:smartTag>
      </w:smartTag>
    </w:p>
    <w:p w14:paraId="3CF27001" w14:textId="77777777" w:rsidR="00423413" w:rsidRPr="00423413" w:rsidRDefault="00423413" w:rsidP="00423413">
      <w:pPr>
        <w:rPr>
          <w:rFonts w:ascii="EngraversGothic BT" w:hAnsi="EngraversGothic BT"/>
          <w:sz w:val="18"/>
        </w:rPr>
      </w:pPr>
      <w:smartTag w:uri="urn:schemas-microsoft-com:office:smarttags" w:element="place">
        <w:smartTag w:uri="urn:schemas-microsoft-com:office:smarttags" w:element="City">
          <w:r w:rsidRPr="00423413">
            <w:rPr>
              <w:rFonts w:ascii="EngraversGothic BT" w:hAnsi="EngraversGothic BT"/>
              <w:sz w:val="18"/>
            </w:rPr>
            <w:t>Albany</w:t>
          </w:r>
        </w:smartTag>
        <w:r w:rsidRPr="00423413">
          <w:rPr>
            <w:rFonts w:ascii="EngraversGothic BT" w:hAnsi="EngraversGothic BT"/>
            <w:sz w:val="18"/>
          </w:rPr>
          <w:t xml:space="preserve">, </w:t>
        </w:r>
        <w:smartTag w:uri="urn:schemas-microsoft-com:office:smarttags" w:element="State">
          <w:r w:rsidRPr="00423413">
            <w:rPr>
              <w:rFonts w:ascii="EngraversGothic BT" w:hAnsi="EngraversGothic BT"/>
              <w:sz w:val="18"/>
            </w:rPr>
            <w:t>New York</w:t>
          </w:r>
        </w:smartTag>
        <w:r w:rsidRPr="00423413">
          <w:rPr>
            <w:rFonts w:ascii="EngraversGothic BT" w:hAnsi="EngraversGothic BT"/>
            <w:sz w:val="18"/>
          </w:rPr>
          <w:t xml:space="preserve"> </w:t>
        </w:r>
        <w:smartTag w:uri="urn:schemas-microsoft-com:office:smarttags" w:element="PostalCode">
          <w:r w:rsidRPr="00423413">
            <w:rPr>
              <w:rFonts w:ascii="EngraversGothic BT" w:hAnsi="EngraversGothic BT"/>
              <w:sz w:val="18"/>
            </w:rPr>
            <w:t>12207-1693</w:t>
          </w:r>
        </w:smartTag>
      </w:smartTag>
    </w:p>
    <w:p w14:paraId="3BBFA078" w14:textId="32015F21" w:rsidR="00423413" w:rsidRPr="00423413" w:rsidRDefault="00423413" w:rsidP="00423413">
      <w:pPr>
        <w:rPr>
          <w:rFonts w:ascii="EngraversGothic BT" w:hAnsi="EngraversGothic BT"/>
          <w:sz w:val="18"/>
        </w:rPr>
      </w:pPr>
      <w:r w:rsidRPr="00423413">
        <w:rPr>
          <w:rFonts w:ascii="EngraversGothic BT" w:hAnsi="EngraversGothic BT"/>
          <w:sz w:val="18"/>
        </w:rPr>
        <w:t>Tel:</w:t>
      </w:r>
      <w:r w:rsidR="00590DB5">
        <w:rPr>
          <w:rFonts w:ascii="EngraversGothic BT" w:hAnsi="EngraversGothic BT"/>
          <w:sz w:val="18"/>
        </w:rPr>
        <w:t xml:space="preserve"> </w:t>
      </w:r>
      <w:r w:rsidRPr="00423413">
        <w:rPr>
          <w:rFonts w:ascii="EngraversGothic BT" w:hAnsi="EngraversGothic BT"/>
          <w:sz w:val="18"/>
        </w:rPr>
        <w:t>518-436-0751</w:t>
      </w:r>
    </w:p>
    <w:p w14:paraId="417BE7B9" w14:textId="77777777" w:rsidR="00423413" w:rsidRPr="00423413" w:rsidRDefault="00423413" w:rsidP="00423413">
      <w:pPr>
        <w:rPr>
          <w:rFonts w:ascii="EngraversGothic BT" w:hAnsi="EngraversGothic BT"/>
          <w:sz w:val="18"/>
        </w:rPr>
      </w:pPr>
      <w:r w:rsidRPr="00423413">
        <w:rPr>
          <w:rFonts w:ascii="EngraversGothic BT" w:hAnsi="EngraversGothic BT"/>
          <w:sz w:val="18"/>
        </w:rPr>
        <w:t>Fax: 518-436-4751</w:t>
      </w:r>
    </w:p>
    <w:p w14:paraId="49756CAA" w14:textId="77777777" w:rsidR="00A2033B" w:rsidRDefault="00A2033B" w:rsidP="00423413"/>
    <w:p w14:paraId="31B03A21" w14:textId="597F6174" w:rsidR="001F602E" w:rsidRDefault="001F602E" w:rsidP="00423413">
      <w:r>
        <w:fldChar w:fldCharType="begin"/>
      </w:r>
      <w:r>
        <w:instrText xml:space="preserve"> DATE \@ "MMMM d, yyyy" </w:instrText>
      </w:r>
      <w:r>
        <w:fldChar w:fldCharType="separate"/>
      </w:r>
      <w:r w:rsidR="0041404C">
        <w:rPr>
          <w:noProof/>
        </w:rPr>
        <w:t>March 21, 2024</w:t>
      </w:r>
      <w:r>
        <w:fldChar w:fldCharType="end"/>
      </w:r>
    </w:p>
    <w:p w14:paraId="45A0E978" w14:textId="77777777" w:rsidR="008E2CF5" w:rsidRDefault="008E2CF5" w:rsidP="00A2033B">
      <w:pPr>
        <w:ind w:left="720" w:right="4320" w:hanging="720"/>
        <w:jc w:val="both"/>
      </w:pPr>
    </w:p>
    <w:p w14:paraId="06AD62CC" w14:textId="76C02D90" w:rsidR="00423413" w:rsidRPr="00423413" w:rsidRDefault="00423413" w:rsidP="0017645F">
      <w:pPr>
        <w:ind w:left="720" w:right="5040" w:hanging="720"/>
        <w:jc w:val="both"/>
      </w:pPr>
      <w:r w:rsidRPr="00423413">
        <w:t>RE:</w:t>
      </w:r>
      <w:r w:rsidRPr="00423413">
        <w:tab/>
        <w:t xml:space="preserve">AN </w:t>
      </w:r>
      <w:r w:rsidR="005F3E1F" w:rsidRPr="005F3E1F">
        <w:rPr>
          <w:bCs/>
        </w:rPr>
        <w:t xml:space="preserve">ACT to amend the </w:t>
      </w:r>
      <w:r w:rsidR="00D853DE">
        <w:rPr>
          <w:bCs/>
        </w:rPr>
        <w:t>public health law and insurance law, in relation to prohibiting health insurers from requiring prior authorization for pre-exposure prophylaxis used to prevent HIV infection</w:t>
      </w:r>
      <w:r w:rsidR="00D63A1E">
        <w:rPr>
          <w:bCs/>
        </w:rPr>
        <w:t xml:space="preserve"> </w:t>
      </w:r>
    </w:p>
    <w:p w14:paraId="44B3DCE3" w14:textId="77777777" w:rsidR="00423413" w:rsidRPr="00423413" w:rsidRDefault="00423413" w:rsidP="00423413"/>
    <w:p w14:paraId="119A0614" w14:textId="60F1CF4C" w:rsidR="009C0206" w:rsidRDefault="009C0206" w:rsidP="00423413">
      <w:pPr>
        <w:jc w:val="center"/>
      </w:pPr>
      <w:r>
        <w:t>A.6059-A (Simone)</w:t>
      </w:r>
    </w:p>
    <w:p w14:paraId="432DD3D2" w14:textId="7765A5E4" w:rsidR="00ED7EA0" w:rsidRDefault="00ED7EA0" w:rsidP="00423413">
      <w:pPr>
        <w:jc w:val="center"/>
      </w:pPr>
      <w:r>
        <w:t>S</w:t>
      </w:r>
      <w:r w:rsidR="00590DB5">
        <w:t>.3227</w:t>
      </w:r>
      <w:r w:rsidR="00F4503C">
        <w:t>-A</w:t>
      </w:r>
      <w:r w:rsidR="00D853DE">
        <w:t xml:space="preserve"> </w:t>
      </w:r>
      <w:r>
        <w:t>(</w:t>
      </w:r>
      <w:proofErr w:type="spellStart"/>
      <w:r w:rsidR="00FF7D66">
        <w:t>Holyman</w:t>
      </w:r>
      <w:proofErr w:type="spellEnd"/>
      <w:r w:rsidR="00590DB5">
        <w:t>-Sigal</w:t>
      </w:r>
      <w:r>
        <w:t>)</w:t>
      </w:r>
    </w:p>
    <w:p w14:paraId="0E44823C" w14:textId="77777777" w:rsidR="00423413" w:rsidRPr="00423413" w:rsidRDefault="00423413" w:rsidP="00423413"/>
    <w:p w14:paraId="7544E8DF" w14:textId="77777777" w:rsidR="00423413" w:rsidRPr="00423413" w:rsidRDefault="00423413" w:rsidP="00423413">
      <w:pPr>
        <w:jc w:val="center"/>
      </w:pPr>
      <w:r w:rsidRPr="00423413">
        <w:rPr>
          <w:b/>
          <w:bCs/>
          <w:u w:val="single"/>
        </w:rPr>
        <w:t>MEMORANDUM IN OPPOSITION</w:t>
      </w:r>
    </w:p>
    <w:p w14:paraId="6FA6B23D" w14:textId="77777777" w:rsidR="00423413" w:rsidRPr="00423413" w:rsidRDefault="00423413" w:rsidP="00423413">
      <w:pPr>
        <w:jc w:val="center"/>
      </w:pPr>
    </w:p>
    <w:p w14:paraId="6910B87B" w14:textId="77777777" w:rsidR="00423413" w:rsidRPr="00423413" w:rsidRDefault="00423413" w:rsidP="00423413">
      <w:pPr>
        <w:jc w:val="center"/>
      </w:pPr>
      <w:r w:rsidRPr="00423413">
        <w:t>Submitted on behalf of the Blue Cross and Blue Shield Plans</w:t>
      </w:r>
    </w:p>
    <w:p w14:paraId="41823D4C" w14:textId="77777777" w:rsidR="00423413" w:rsidRPr="00423413" w:rsidRDefault="00423413" w:rsidP="00423413"/>
    <w:p w14:paraId="72E3BCA3" w14:textId="4B6F6443" w:rsidR="00EB6C2E" w:rsidRDefault="00B43C87" w:rsidP="004C596E">
      <w:pPr>
        <w:jc w:val="both"/>
      </w:pPr>
      <w:r w:rsidRPr="00B43C87">
        <w:t xml:space="preserve">The </w:t>
      </w:r>
      <w:r w:rsidR="004C0571">
        <w:t xml:space="preserve">New York State Conference of </w:t>
      </w:r>
      <w:r w:rsidRPr="00B43C87">
        <w:t>Blue Cross and Blue Shield Plans oppose</w:t>
      </w:r>
      <w:r w:rsidR="004C0571">
        <w:t>s</w:t>
      </w:r>
      <w:r w:rsidRPr="00B43C87">
        <w:t xml:space="preserve"> enactment of this </w:t>
      </w:r>
      <w:r w:rsidR="00590DB5">
        <w:t>b</w:t>
      </w:r>
      <w:r w:rsidRPr="00B43C87">
        <w:t>ill</w:t>
      </w:r>
      <w:r w:rsidR="00137D76">
        <w:t>,</w:t>
      </w:r>
      <w:r w:rsidR="004C596E">
        <w:t xml:space="preserve"> </w:t>
      </w:r>
      <w:r w:rsidR="00FF7D66">
        <w:t>as it</w:t>
      </w:r>
      <w:r w:rsidR="00137D76">
        <w:t xml:space="preserve"> would</w:t>
      </w:r>
      <w:r w:rsidR="00FF7D66">
        <w:t xml:space="preserve"> </w:t>
      </w:r>
      <w:r w:rsidR="00D853DE">
        <w:t xml:space="preserve">prohibit health plans from </w:t>
      </w:r>
      <w:r w:rsidR="00590DB5">
        <w:t>applying</w:t>
      </w:r>
      <w:r w:rsidR="00D853DE">
        <w:t xml:space="preserve"> prior authorization </w:t>
      </w:r>
      <w:r w:rsidR="00590DB5">
        <w:t>requirements to</w:t>
      </w:r>
      <w:r w:rsidR="00D853DE">
        <w:t xml:space="preserve"> the</w:t>
      </w:r>
      <w:r w:rsidR="00590DB5">
        <w:t xml:space="preserve"> </w:t>
      </w:r>
      <w:r w:rsidR="00D853DE">
        <w:t>coverage of</w:t>
      </w:r>
      <w:r w:rsidR="00FF7D66">
        <w:t xml:space="preserve"> </w:t>
      </w:r>
      <w:r w:rsidR="00FF7D66" w:rsidRPr="00FF7D66">
        <w:t>pre-exposure prophylaxis</w:t>
      </w:r>
      <w:r w:rsidR="00EB6C2E">
        <w:t xml:space="preserve"> (“</w:t>
      </w:r>
      <w:proofErr w:type="spellStart"/>
      <w:r w:rsidR="00EB6C2E">
        <w:t>PrEP</w:t>
      </w:r>
      <w:proofErr w:type="spellEnd"/>
      <w:r w:rsidR="00EB6C2E">
        <w:t>”)</w:t>
      </w:r>
      <w:r w:rsidR="00137D76">
        <w:t xml:space="preserve"> for HIV</w:t>
      </w:r>
      <w:r w:rsidR="00D853DE">
        <w:t>.</w:t>
      </w:r>
      <w:r w:rsidR="00590DB5">
        <w:t xml:space="preserve"> </w:t>
      </w:r>
      <w:r w:rsidR="004C0571">
        <w:t xml:space="preserve"> </w:t>
      </w:r>
      <w:r w:rsidR="00F4503C">
        <w:t xml:space="preserve">Prior </w:t>
      </w:r>
      <w:r w:rsidR="004C0571">
        <w:t>authorization ensures that a drug is clinically appropriate for a patient before they start taking it.</w:t>
      </w:r>
      <w:r w:rsidR="00574A3E">
        <w:t xml:space="preserve"> </w:t>
      </w:r>
      <w:r w:rsidR="00B86832">
        <w:t xml:space="preserve"> </w:t>
      </w:r>
      <w:r w:rsidR="00574A3E">
        <w:t>In essence, prior authorization provides protection for the member by ensuring that</w:t>
      </w:r>
      <w:r w:rsidR="004C0571">
        <w:t xml:space="preserve"> </w:t>
      </w:r>
      <w:r w:rsidR="00574A3E">
        <w:t xml:space="preserve">coverage will be provided </w:t>
      </w:r>
      <w:r w:rsidR="00574A3E" w:rsidRPr="00F1558B">
        <w:rPr>
          <w:u w:val="single"/>
        </w:rPr>
        <w:t>prior</w:t>
      </w:r>
      <w:r w:rsidR="00574A3E">
        <w:t xml:space="preserve"> to the member receiving services. </w:t>
      </w:r>
      <w:r w:rsidR="004C0571">
        <w:t xml:space="preserve"> </w:t>
      </w:r>
      <w:r w:rsidR="00EB6C2E">
        <w:t xml:space="preserve">However, this </w:t>
      </w:r>
      <w:r w:rsidR="00643EFE">
        <w:t>b</w:t>
      </w:r>
      <w:r w:rsidR="00EB6C2E">
        <w:t>ill</w:t>
      </w:r>
      <w:r w:rsidR="00EB6C2E" w:rsidRPr="00EB6C2E">
        <w:t xml:space="preserve"> ignores th</w:t>
      </w:r>
      <w:r w:rsidR="00137D76">
        <w:t xml:space="preserve">is critical function </w:t>
      </w:r>
      <w:r w:rsidR="00EB6C2E" w:rsidRPr="00EB6C2E">
        <w:t>of prior authorization</w:t>
      </w:r>
      <w:r w:rsidR="00EB6C2E">
        <w:t>, and will ultimately contribute to the rising healt</w:t>
      </w:r>
      <w:r w:rsidR="00D256C7">
        <w:t xml:space="preserve">h insurance premiums for individuals and New York businesses. </w:t>
      </w:r>
    </w:p>
    <w:p w14:paraId="1C36F7E6" w14:textId="77777777" w:rsidR="00EB6C2E" w:rsidRDefault="00EB6C2E" w:rsidP="004C596E">
      <w:pPr>
        <w:jc w:val="both"/>
      </w:pPr>
    </w:p>
    <w:p w14:paraId="5E3FD7EE" w14:textId="28C44A07" w:rsidR="009338B0" w:rsidRDefault="00600DD9" w:rsidP="004C596E">
      <w:pPr>
        <w:jc w:val="both"/>
      </w:pPr>
      <w:r>
        <w:t>P</w:t>
      </w:r>
      <w:r w:rsidR="009338B0">
        <w:t>ursuant to the Affordable Care Act</w:t>
      </w:r>
      <w:r w:rsidR="00137D76">
        <w:t xml:space="preserve"> (“ACA”)</w:t>
      </w:r>
      <w:r w:rsidR="009338B0">
        <w:t xml:space="preserve">, health plans must provide coverage of preventative services for which the </w:t>
      </w:r>
      <w:r w:rsidR="009338B0" w:rsidRPr="009338B0">
        <w:t>U.S. Preventive Services Task Force (</w:t>
      </w:r>
      <w:r w:rsidR="009338B0">
        <w:t>“</w:t>
      </w:r>
      <w:r w:rsidR="009338B0" w:rsidRPr="009338B0">
        <w:t>USPSTF</w:t>
      </w:r>
      <w:r w:rsidR="009338B0">
        <w:t>”</w:t>
      </w:r>
      <w:r w:rsidR="009338B0" w:rsidRPr="009338B0">
        <w:t>)</w:t>
      </w:r>
      <w:r w:rsidR="009338B0">
        <w:t xml:space="preserve"> has issued an “A” or “B” recommendation without cost-sharing (</w:t>
      </w:r>
      <w:r w:rsidR="004C0571">
        <w:t>e.g.,</w:t>
      </w:r>
      <w:r w:rsidR="009338B0">
        <w:t xml:space="preserve"> copayments, deductibles</w:t>
      </w:r>
      <w:r w:rsidR="004C0571">
        <w:t>,</w:t>
      </w:r>
      <w:r w:rsidR="009338B0">
        <w:t xml:space="preserve"> or coinsurance</w:t>
      </w:r>
      <w:r w:rsidR="004C0571">
        <w:t>)</w:t>
      </w:r>
      <w:r w:rsidR="009338B0">
        <w:t>.</w:t>
      </w:r>
      <w:r w:rsidR="0017645F">
        <w:rPr>
          <w:rStyle w:val="FootnoteReference"/>
        </w:rPr>
        <w:footnoteReference w:id="1"/>
      </w:r>
      <w:r w:rsidR="0017645F">
        <w:t xml:space="preserve"> </w:t>
      </w:r>
      <w:r w:rsidR="009338B0">
        <w:t xml:space="preserve"> </w:t>
      </w:r>
      <w:r>
        <w:t xml:space="preserve">The USPSTF recommends </w:t>
      </w:r>
      <w:r w:rsidR="00EB6445">
        <w:t>clinician</w:t>
      </w:r>
      <w:r w:rsidR="007173DB">
        <w:t>s</w:t>
      </w:r>
      <w:r w:rsidR="00EB6445">
        <w:t xml:space="preserve"> prescribe</w:t>
      </w:r>
      <w:r w:rsidR="00477E3E" w:rsidRPr="00477E3E">
        <w:t xml:space="preserve"> </w:t>
      </w:r>
      <w:proofErr w:type="spellStart"/>
      <w:r w:rsidR="00477E3E" w:rsidRPr="00477E3E">
        <w:t>PrEP</w:t>
      </w:r>
      <w:proofErr w:type="spellEnd"/>
      <w:r w:rsidR="00477E3E" w:rsidRPr="00477E3E">
        <w:t xml:space="preserve"> </w:t>
      </w:r>
      <w:r w:rsidR="00EB6445">
        <w:t xml:space="preserve">using effective antiretroviral therapy </w:t>
      </w:r>
      <w:r w:rsidR="00477E3E" w:rsidRPr="00477E3E">
        <w:t>to persons at high risk of HIV acquisition</w:t>
      </w:r>
      <w:r w:rsidR="00EB6445">
        <w:t xml:space="preserve"> to decrease th</w:t>
      </w:r>
      <w:r w:rsidR="007173DB">
        <w:t>at</w:t>
      </w:r>
      <w:r w:rsidR="00EB6445">
        <w:t xml:space="preserve"> risk</w:t>
      </w:r>
      <w:r w:rsidR="0017645F">
        <w:t>.</w:t>
      </w:r>
      <w:r w:rsidR="0017645F" w:rsidRPr="0017645F">
        <w:rPr>
          <w:rStyle w:val="FootnoteReference"/>
        </w:rPr>
        <w:t xml:space="preserve"> </w:t>
      </w:r>
      <w:r w:rsidR="0017645F">
        <w:rPr>
          <w:rStyle w:val="FootnoteReference"/>
        </w:rPr>
        <w:footnoteReference w:id="2"/>
      </w:r>
      <w:r w:rsidR="0017645F">
        <w:t xml:space="preserve"> </w:t>
      </w:r>
      <w:r w:rsidR="00477E3E">
        <w:t xml:space="preserve"> </w:t>
      </w:r>
      <w:r>
        <w:t>T</w:t>
      </w:r>
      <w:r w:rsidR="00477E3E">
        <w:t xml:space="preserve">he Department of Financial Services (“DFS”) </w:t>
      </w:r>
      <w:r w:rsidR="004C0571">
        <w:t xml:space="preserve">noted in guidance </w:t>
      </w:r>
      <w:r w:rsidR="00477E3E">
        <w:t>that such coverage include</w:t>
      </w:r>
      <w:r w:rsidR="007173DB">
        <w:t>s</w:t>
      </w:r>
      <w:r w:rsidR="00477E3E">
        <w:t xml:space="preserve"> any t</w:t>
      </w:r>
      <w:r w:rsidR="00477E3E" w:rsidRPr="00477E3E">
        <w:t xml:space="preserve">ests and services </w:t>
      </w:r>
      <w:r w:rsidR="00477E3E">
        <w:t>“</w:t>
      </w:r>
      <w:r w:rsidR="00477E3E" w:rsidRPr="00477E3E">
        <w:t xml:space="preserve">recommended by the USPSTF to be undertaken prior to prescribing </w:t>
      </w:r>
      <w:proofErr w:type="spellStart"/>
      <w:r w:rsidR="00477E3E" w:rsidRPr="00477E3E">
        <w:t>PrEP</w:t>
      </w:r>
      <w:proofErr w:type="spellEnd"/>
      <w:r w:rsidR="00477E3E" w:rsidRPr="00477E3E">
        <w:t xml:space="preserve"> and for ongoing </w:t>
      </w:r>
      <w:r w:rsidR="00477E3E" w:rsidRPr="00477E3E">
        <w:lastRenderedPageBreak/>
        <w:t>follow-up and monitoring</w:t>
      </w:r>
      <w:r w:rsidR="00477E3E">
        <w:t>.”</w:t>
      </w:r>
      <w:r w:rsidR="00477E3E">
        <w:rPr>
          <w:rStyle w:val="FootnoteReference"/>
        </w:rPr>
        <w:footnoteReference w:id="3"/>
      </w:r>
      <w:r w:rsidR="009338B0">
        <w:t xml:space="preserve"> </w:t>
      </w:r>
      <w:r w:rsidR="00EB6445">
        <w:t xml:space="preserve"> Further, under the ACA regulations, health plans are permitted to use reasonable medical management techniques to determine the frequency, method, treatment or setting for a preventive service, to the extent not specified in the relevant recommendation.</w:t>
      </w:r>
      <w:r w:rsidR="00EB6445">
        <w:rPr>
          <w:rStyle w:val="FootnoteReference"/>
        </w:rPr>
        <w:footnoteReference w:id="4"/>
      </w:r>
      <w:r w:rsidR="00EB6445">
        <w:t xml:space="preserve">  </w:t>
      </w:r>
    </w:p>
    <w:p w14:paraId="75A2F001" w14:textId="06DE4ACE" w:rsidR="00D256C7" w:rsidRDefault="00D256C7" w:rsidP="004C596E">
      <w:pPr>
        <w:jc w:val="both"/>
      </w:pPr>
    </w:p>
    <w:p w14:paraId="7F7BFC8A" w14:textId="33673BD8" w:rsidR="001F602E" w:rsidRDefault="001F602E" w:rsidP="001F602E">
      <w:pPr>
        <w:jc w:val="both"/>
      </w:pPr>
      <w:r>
        <w:t xml:space="preserve">Most importantly, the USPSTF recommends specific medical testing before prescribing </w:t>
      </w:r>
      <w:proofErr w:type="spellStart"/>
      <w:r>
        <w:t>PrEP.</w:t>
      </w:r>
      <w:proofErr w:type="spellEnd"/>
      <w:r>
        <w:t xml:space="preserve">  “</w:t>
      </w:r>
      <w:r w:rsidRPr="008D5FDC">
        <w:t xml:space="preserve">Before prescribing </w:t>
      </w:r>
      <w:proofErr w:type="spellStart"/>
      <w:r w:rsidRPr="008D5FDC">
        <w:t>PrEP</w:t>
      </w:r>
      <w:proofErr w:type="spellEnd"/>
      <w:r w:rsidRPr="008D5FDC">
        <w:t>, clinicians should exclude persons with acute or chronic HIV through taking a medical history and HIV testing.</w:t>
      </w:r>
      <w:r>
        <w:t>”</w:t>
      </w:r>
      <w:r>
        <w:rPr>
          <w:rStyle w:val="FootnoteReference"/>
        </w:rPr>
        <w:footnoteReference w:id="5"/>
      </w:r>
      <w:r>
        <w:t xml:space="preserve">  The recommendation statement further explains that </w:t>
      </w:r>
      <w:proofErr w:type="spellStart"/>
      <w:r>
        <w:t>PrEP</w:t>
      </w:r>
      <w:proofErr w:type="spellEnd"/>
      <w:r>
        <w:t xml:space="preserve">, </w:t>
      </w:r>
      <w:r w:rsidRPr="008D5FDC">
        <w:t xml:space="preserve">when used alone, </w:t>
      </w:r>
      <w:r>
        <w:t>is</w:t>
      </w:r>
      <w:r w:rsidRPr="008D5FDC">
        <w:t xml:space="preserve"> not effective treatment for HIV, and use in persons with HIV can lead to the emergence of, or selection for, drug-resistant HIV.</w:t>
      </w:r>
      <w:r>
        <w:rPr>
          <w:rStyle w:val="FootnoteReference"/>
        </w:rPr>
        <w:footnoteReference w:id="6"/>
      </w:r>
      <w:r>
        <w:t xml:space="preserve">  Further, the statement recommends</w:t>
      </w:r>
      <w:r w:rsidRPr="008D5FDC">
        <w:t xml:space="preserve"> that testing for other </w:t>
      </w:r>
      <w:r>
        <w:t xml:space="preserve">sexually transmitted diseases, </w:t>
      </w:r>
      <w:r w:rsidRPr="008D5FDC">
        <w:t>pregnancy</w:t>
      </w:r>
      <w:r>
        <w:t xml:space="preserve"> (where appropriate), and for certain drugs, testing kidne</w:t>
      </w:r>
      <w:r w:rsidRPr="008D5FDC">
        <w:t>y function</w:t>
      </w:r>
      <w:r>
        <w:t xml:space="preserve">, Hepatitis </w:t>
      </w:r>
      <w:r w:rsidRPr="008D5FDC">
        <w:t>B</w:t>
      </w:r>
      <w:r>
        <w:t>,</w:t>
      </w:r>
      <w:r w:rsidRPr="008D5FDC">
        <w:t xml:space="preserve"> and</w:t>
      </w:r>
      <w:r>
        <w:t xml:space="preserve"> a </w:t>
      </w:r>
      <w:r w:rsidRPr="008D5FDC">
        <w:t>lipid profile</w:t>
      </w:r>
      <w:r>
        <w:t>.</w:t>
      </w:r>
      <w:r>
        <w:rPr>
          <w:rStyle w:val="FootnoteReference"/>
        </w:rPr>
        <w:footnoteReference w:id="7"/>
      </w:r>
      <w:r>
        <w:t xml:space="preserve">  The prior authorization process allows </w:t>
      </w:r>
      <w:r w:rsidR="00EB6445">
        <w:t xml:space="preserve">health </w:t>
      </w:r>
      <w:r>
        <w:t xml:space="preserve">plans to ensure these critical health and safety criteria are </w:t>
      </w:r>
      <w:r w:rsidR="00F4503C">
        <w:t>met</w:t>
      </w:r>
      <w:r>
        <w:t xml:space="preserve"> </w:t>
      </w:r>
      <w:r w:rsidRPr="00EB6445">
        <w:rPr>
          <w:u w:val="single"/>
        </w:rPr>
        <w:t>before</w:t>
      </w:r>
      <w:r>
        <w:t xml:space="preserve"> the drug is used. </w:t>
      </w:r>
    </w:p>
    <w:p w14:paraId="56900EEC" w14:textId="5F6C910A" w:rsidR="004470AF" w:rsidRDefault="004470AF" w:rsidP="00D256C7">
      <w:pPr>
        <w:jc w:val="both"/>
      </w:pPr>
      <w:r>
        <w:t xml:space="preserve"> </w:t>
      </w:r>
    </w:p>
    <w:p w14:paraId="77BD81E5" w14:textId="0D58CA09" w:rsidR="001F602E" w:rsidRDefault="001F602E" w:rsidP="001F602E">
      <w:pPr>
        <w:jc w:val="both"/>
      </w:pPr>
      <w:r>
        <w:t xml:space="preserve">Unfortunately, this bill takes the position that the existing protections are insufficient and disregards the important role that prior authorization serves in the administration of health insurance coverage. </w:t>
      </w:r>
      <w:r w:rsidR="007173DB">
        <w:t xml:space="preserve"> </w:t>
      </w:r>
      <w:r>
        <w:t xml:space="preserve">Medical necessity review is a vital component of the prior authorization process by applying evidence-based treatment criteria developed and used by nationally renowned provider organizations and insurers to support better patient outcomes and ensure health care decisions are consistent and clinically appropriate. </w:t>
      </w:r>
      <w:r w:rsidR="00EB6445">
        <w:t xml:space="preserve"> </w:t>
      </w:r>
      <w:r>
        <w:t>These guidelines reduce over and underutilization and facilitate appropriate care by applying evidence-based decision-making standards. These criteria, like USPSTF recommendation, are also consistently reviewed and updated by clinicians</w:t>
      </w:r>
      <w:r>
        <w:rPr>
          <w:i/>
        </w:rPr>
        <w:t xml:space="preserve"> </w:t>
      </w:r>
      <w:r>
        <w:t xml:space="preserve">and health care experts. </w:t>
      </w:r>
    </w:p>
    <w:p w14:paraId="04A1A855" w14:textId="154F8AC9" w:rsidR="001F602E" w:rsidRDefault="001F602E" w:rsidP="001F602E">
      <w:pPr>
        <w:jc w:val="both"/>
      </w:pPr>
      <w:r>
        <w:br/>
        <w:t>This bill presumes that prior authorization acts as excessive delay to receiving care.  In fact, health plans must respond to requests for prior authorization within the earlier of three (3) business days of receipt of the necessary information from the health care provider or 15 days of receipt of the request.</w:t>
      </w:r>
      <w:r>
        <w:rPr>
          <w:rStyle w:val="FootnoteReference"/>
        </w:rPr>
        <w:footnoteReference w:id="8"/>
      </w:r>
      <w:r>
        <w:t xml:space="preserve">  </w:t>
      </w:r>
    </w:p>
    <w:p w14:paraId="48C37030" w14:textId="77777777" w:rsidR="001F602E" w:rsidRDefault="001F602E" w:rsidP="001F602E">
      <w:pPr>
        <w:jc w:val="both"/>
      </w:pPr>
    </w:p>
    <w:p w14:paraId="0CB3BAD5" w14:textId="6CAE1499" w:rsidR="001F602E" w:rsidRDefault="001F602E" w:rsidP="001F602E">
      <w:pPr>
        <w:jc w:val="both"/>
      </w:pPr>
      <w:r>
        <w:t xml:space="preserve">Further, while this bill is well-intentioned, it creates a scenario under which health plans are prohibited from conducting a medical necessity review before the drugs are dispensed but would </w:t>
      </w:r>
      <w:r w:rsidR="00EB6445">
        <w:t>force a</w:t>
      </w:r>
      <w:r>
        <w:t xml:space="preserve"> plan to deny a claim for these drugs as not medically necessary after the patient has already received and used the medication.  As a result, it would potentially expose patients to liability for costs </w:t>
      </w:r>
      <w:r w:rsidR="00EB6445">
        <w:t>for</w:t>
      </w:r>
      <w:r>
        <w:t xml:space="preserve"> drugs that are not medically necessary – or, worse yet, clinically detrimental.  This undesirable outcome is unnecessary and entirely avoidable under existing protections.</w:t>
      </w:r>
    </w:p>
    <w:p w14:paraId="4BA9D3CA" w14:textId="6C22AB9C" w:rsidR="00C94CB1" w:rsidRDefault="00C94CB1" w:rsidP="00D63A1E">
      <w:pPr>
        <w:jc w:val="both"/>
      </w:pPr>
    </w:p>
    <w:p w14:paraId="091E73AA" w14:textId="391B2FC0" w:rsidR="00AE5050" w:rsidRDefault="00796268" w:rsidP="00D63A1E">
      <w:pPr>
        <w:jc w:val="both"/>
        <w:rPr>
          <w:bCs/>
        </w:rPr>
      </w:pPr>
      <w:r>
        <w:lastRenderedPageBreak/>
        <w:t xml:space="preserve">In sum, </w:t>
      </w:r>
      <w:r w:rsidR="00EB6445">
        <w:t xml:space="preserve">this bill would prevent health plans from using prior authorization – a reasonable medical management technique permitted by the ACA – to ensure that </w:t>
      </w:r>
      <w:r w:rsidR="007173DB">
        <w:t>the</w:t>
      </w:r>
      <w:r w:rsidR="00EB6445">
        <w:t xml:space="preserve"> preventive </w:t>
      </w:r>
      <w:r w:rsidR="008D2540">
        <w:t xml:space="preserve">is clinically appropriate according to the guidelines set forth in the </w:t>
      </w:r>
      <w:r w:rsidR="00EB6445">
        <w:t xml:space="preserve">USPSTF recommendation statement.  This bill </w:t>
      </w:r>
      <w:r w:rsidR="008D2540">
        <w:t>would also</w:t>
      </w:r>
      <w:r>
        <w:t xml:space="preserve"> </w:t>
      </w:r>
      <w:r w:rsidR="00AE5050" w:rsidRPr="00AE5050">
        <w:rPr>
          <w:bCs/>
        </w:rPr>
        <w:t xml:space="preserve">increase the costs </w:t>
      </w:r>
      <w:r>
        <w:rPr>
          <w:bCs/>
        </w:rPr>
        <w:t>borne by</w:t>
      </w:r>
      <w:r w:rsidR="00AE5050" w:rsidRPr="00AE5050">
        <w:rPr>
          <w:bCs/>
        </w:rPr>
        <w:t xml:space="preserve"> health </w:t>
      </w:r>
      <w:r w:rsidR="00EB6445">
        <w:rPr>
          <w:bCs/>
        </w:rPr>
        <w:t>plans and employers</w:t>
      </w:r>
      <w:r w:rsidR="00137D76">
        <w:rPr>
          <w:bCs/>
        </w:rPr>
        <w:t xml:space="preserve"> –</w:t>
      </w:r>
      <w:r w:rsidR="00AE5050" w:rsidRPr="00AE5050">
        <w:rPr>
          <w:bCs/>
        </w:rPr>
        <w:t xml:space="preserve"> which w</w:t>
      </w:r>
      <w:r>
        <w:rPr>
          <w:bCs/>
        </w:rPr>
        <w:t>ould</w:t>
      </w:r>
      <w:r w:rsidR="00AE5050" w:rsidRPr="00AE5050">
        <w:rPr>
          <w:bCs/>
        </w:rPr>
        <w:t xml:space="preserve"> ultimately </w:t>
      </w:r>
      <w:r>
        <w:rPr>
          <w:bCs/>
        </w:rPr>
        <w:t>by borne by all New Yorkers in the forms of</w:t>
      </w:r>
      <w:r w:rsidR="00AE5050" w:rsidRPr="00AE5050">
        <w:rPr>
          <w:bCs/>
        </w:rPr>
        <w:t xml:space="preserve"> higher premiums and </w:t>
      </w:r>
      <w:r>
        <w:rPr>
          <w:bCs/>
        </w:rPr>
        <w:t xml:space="preserve">increased </w:t>
      </w:r>
      <w:r w:rsidR="00AE5050" w:rsidRPr="00AE5050">
        <w:rPr>
          <w:bCs/>
        </w:rPr>
        <w:t>taxes.</w:t>
      </w:r>
      <w:r w:rsidR="001F602E">
        <w:rPr>
          <w:bCs/>
        </w:rPr>
        <w:t xml:space="preserve"> </w:t>
      </w:r>
      <w:r w:rsidR="00590DB5">
        <w:rPr>
          <w:bCs/>
        </w:rPr>
        <w:t xml:space="preserve"> </w:t>
      </w:r>
      <w:r w:rsidR="00AE5050">
        <w:rPr>
          <w:bCs/>
        </w:rPr>
        <w:t>It will also expose individuals to higher out-of-pocket costs by prohibiting plans from using prior authorization</w:t>
      </w:r>
      <w:r>
        <w:rPr>
          <w:bCs/>
        </w:rPr>
        <w:t xml:space="preserve"> to prevent the imposition of costs related to unnecessary, and potentially harmful, treatments. </w:t>
      </w:r>
    </w:p>
    <w:p w14:paraId="2989C5CB" w14:textId="77777777" w:rsidR="00AE5050" w:rsidRDefault="00AE5050" w:rsidP="00D63A1E">
      <w:pPr>
        <w:jc w:val="both"/>
      </w:pPr>
    </w:p>
    <w:p w14:paraId="1F06918C" w14:textId="77777777" w:rsidR="001F602E" w:rsidRPr="00F22132" w:rsidRDefault="001F602E" w:rsidP="001F602E">
      <w:pPr>
        <w:jc w:val="both"/>
      </w:pPr>
      <w:bookmarkStart w:id="0" w:name="_Hlk158103067"/>
      <w:r w:rsidRPr="00F22132">
        <w:t xml:space="preserve">For the foregoing reasons, the </w:t>
      </w:r>
      <w:r>
        <w:t xml:space="preserve">New York State Conference of </w:t>
      </w:r>
      <w:r w:rsidRPr="00F22132">
        <w:t xml:space="preserve">Blue Cross and Blue Shield Plans opposes this </w:t>
      </w:r>
      <w:r>
        <w:t>b</w:t>
      </w:r>
      <w:r w:rsidRPr="00F22132">
        <w:t>ill and urges that it not be enacted.</w:t>
      </w:r>
    </w:p>
    <w:bookmarkEnd w:id="0"/>
    <w:p w14:paraId="18B350A5" w14:textId="77777777" w:rsidR="00423413" w:rsidRPr="00423413" w:rsidRDefault="00423413" w:rsidP="00423413">
      <w:pPr>
        <w:jc w:val="both"/>
      </w:pPr>
    </w:p>
    <w:p w14:paraId="322994DF" w14:textId="77777777" w:rsidR="00423413" w:rsidRPr="00423413" w:rsidRDefault="00423413" w:rsidP="00423413">
      <w:pPr>
        <w:jc w:val="both"/>
      </w:pPr>
      <w:r w:rsidRPr="00423413">
        <w:t>Respectfully submitted,</w:t>
      </w:r>
    </w:p>
    <w:p w14:paraId="0040FB11" w14:textId="77777777" w:rsidR="00423413" w:rsidRPr="00423413" w:rsidRDefault="00423413" w:rsidP="00423413">
      <w:pPr>
        <w:jc w:val="both"/>
      </w:pPr>
    </w:p>
    <w:p w14:paraId="57EC7CA9" w14:textId="77777777" w:rsidR="00423413" w:rsidRPr="00423413" w:rsidRDefault="00423413" w:rsidP="00423413">
      <w:pPr>
        <w:jc w:val="both"/>
      </w:pPr>
    </w:p>
    <w:p w14:paraId="26775629" w14:textId="77777777" w:rsidR="00423413" w:rsidRPr="00423413" w:rsidRDefault="00423413" w:rsidP="00423413">
      <w:pPr>
        <w:jc w:val="both"/>
      </w:pPr>
      <w:r w:rsidRPr="00423413">
        <w:t>HINMAN STRAUB ADVISORS, LLC</w:t>
      </w:r>
    </w:p>
    <w:p w14:paraId="4B3120EF" w14:textId="77777777" w:rsidR="00423413" w:rsidRPr="00423413" w:rsidRDefault="00423413" w:rsidP="00423413">
      <w:pPr>
        <w:jc w:val="both"/>
      </w:pPr>
      <w:r w:rsidRPr="00423413">
        <w:t>Legislative Counsel for the Blue Cross and Blue Shield Plans</w:t>
      </w:r>
    </w:p>
    <w:p w14:paraId="36C959F3" w14:textId="77777777" w:rsidR="00482F1B" w:rsidRDefault="00482F1B"/>
    <w:p w14:paraId="658C930C" w14:textId="77777777" w:rsidR="00482F1B" w:rsidRDefault="00482F1B"/>
    <w:p w14:paraId="5CF2100B" w14:textId="77777777" w:rsidR="00B145D4" w:rsidRDefault="00B145D4">
      <w:pPr>
        <w:rPr>
          <w:sz w:val="16"/>
        </w:rPr>
      </w:pPr>
    </w:p>
    <w:p w14:paraId="4D5E6A49" w14:textId="30A7BFCA" w:rsidR="00A2033B" w:rsidRPr="00482F1B" w:rsidRDefault="00A2033B" w:rsidP="00A2033B">
      <w:pPr>
        <w:spacing w:line="180" w:lineRule="exact"/>
        <w:rPr>
          <w:sz w:val="16"/>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704F1">
        <w:rPr>
          <w:rFonts w:ascii="Arial" w:hAnsi="Arial" w:cs="Arial"/>
          <w:sz w:val="16"/>
        </w:rPr>
        <w:t>4857-9111-2862, v. 3</w:t>
      </w:r>
      <w:r>
        <w:rPr>
          <w:rFonts w:ascii="Arial" w:hAnsi="Arial" w:cs="Arial"/>
          <w:sz w:val="16"/>
        </w:rPr>
        <w:fldChar w:fldCharType="end"/>
      </w:r>
    </w:p>
    <w:sectPr w:rsidR="00A2033B" w:rsidRPr="00482F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183CA" w14:textId="77777777" w:rsidR="00723D19" w:rsidRDefault="00723D19" w:rsidP="00423413">
      <w:r>
        <w:separator/>
      </w:r>
    </w:p>
  </w:endnote>
  <w:endnote w:type="continuationSeparator" w:id="0">
    <w:p w14:paraId="6940D166" w14:textId="77777777" w:rsidR="00723D19" w:rsidRDefault="00723D19" w:rsidP="00423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ngraversGothic BT">
    <w:panose1 w:val="020B0507020203020204"/>
    <w:charset w:val="00"/>
    <w:family w:val="swiss"/>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86E8D" w14:textId="77777777" w:rsidR="00723D19" w:rsidRDefault="00723D19" w:rsidP="00423413">
      <w:r>
        <w:separator/>
      </w:r>
    </w:p>
  </w:footnote>
  <w:footnote w:type="continuationSeparator" w:id="0">
    <w:p w14:paraId="2AB2B6FB" w14:textId="77777777" w:rsidR="00723D19" w:rsidRDefault="00723D19" w:rsidP="00423413">
      <w:r>
        <w:continuationSeparator/>
      </w:r>
    </w:p>
  </w:footnote>
  <w:footnote w:id="1">
    <w:p w14:paraId="67C9E680" w14:textId="0631F0AA" w:rsidR="0017645F" w:rsidRDefault="0017645F">
      <w:pPr>
        <w:pStyle w:val="FootnoteText"/>
      </w:pPr>
      <w:r>
        <w:rPr>
          <w:rStyle w:val="FootnoteReference"/>
        </w:rPr>
        <w:footnoteRef/>
      </w:r>
      <w:r>
        <w:t xml:space="preserve"> </w:t>
      </w:r>
      <w:r w:rsidR="00600DD9">
        <w:t>42 U.S.C. § 300gg-13.</w:t>
      </w:r>
    </w:p>
  </w:footnote>
  <w:footnote w:id="2">
    <w:p w14:paraId="0C5C6E7B" w14:textId="7FC9F0D0" w:rsidR="0017645F" w:rsidRDefault="0017645F" w:rsidP="0017645F">
      <w:pPr>
        <w:pStyle w:val="FootnoteText"/>
      </w:pPr>
      <w:r>
        <w:rPr>
          <w:rStyle w:val="FootnoteReference"/>
        </w:rPr>
        <w:footnoteRef/>
      </w:r>
      <w:r>
        <w:t xml:space="preserve"> </w:t>
      </w:r>
      <w:r w:rsidRPr="009338B0">
        <w:t>U.S. Preventive Services Task Force</w:t>
      </w:r>
      <w:r>
        <w:t xml:space="preserve">, Final Recommendation Statement - Prevention of Human Immunodeficiency Virus (HIV) Infection: Preexposure Prophylaxis, </w:t>
      </w:r>
      <w:r w:rsidRPr="00477E3E">
        <w:rPr>
          <w:i/>
          <w:iCs w:val="0"/>
        </w:rPr>
        <w:t xml:space="preserve">available at </w:t>
      </w:r>
      <w:r w:rsidRPr="001A28B4">
        <w:t>https://www.uspreventiveservicestaskforce.org/uspstf/recommendation/prevention-of-human-immunodeficiency-virus-hiv-infection-pre-exposure-prophylaxis</w:t>
      </w:r>
      <w:r>
        <w:t xml:space="preserve">. </w:t>
      </w:r>
    </w:p>
  </w:footnote>
  <w:footnote w:id="3">
    <w:p w14:paraId="3BE7A0E6" w14:textId="793DCA20" w:rsidR="00477E3E" w:rsidRDefault="00477E3E">
      <w:pPr>
        <w:pStyle w:val="FootnoteText"/>
      </w:pPr>
      <w:r>
        <w:rPr>
          <w:rStyle w:val="FootnoteReference"/>
        </w:rPr>
        <w:footnoteRef/>
      </w:r>
      <w:r>
        <w:t xml:space="preserve"> N.Y. D</w:t>
      </w:r>
      <w:r w:rsidR="0017645F">
        <w:t xml:space="preserve">ept. </w:t>
      </w:r>
      <w:r>
        <w:t>of Financial Services, Supplement No. 2 to Insurance Circular Letter No. 21 (2017),</w:t>
      </w:r>
      <w:r w:rsidRPr="00477E3E">
        <w:rPr>
          <w:i/>
          <w:iCs w:val="0"/>
        </w:rPr>
        <w:t xml:space="preserve"> available at </w:t>
      </w:r>
      <w:r w:rsidRPr="00477E3E">
        <w:t>https://www.dfs.ny.gov/industry_guidance/circular_letters/cl2020_s02_cl2017_21</w:t>
      </w:r>
      <w:r>
        <w:t>.</w:t>
      </w:r>
    </w:p>
  </w:footnote>
  <w:footnote w:id="4">
    <w:p w14:paraId="7FFDE435" w14:textId="66580EB4" w:rsidR="00EB6445" w:rsidRDefault="00EB6445">
      <w:pPr>
        <w:pStyle w:val="FootnoteText"/>
      </w:pPr>
      <w:r>
        <w:rPr>
          <w:rStyle w:val="FootnoteReference"/>
        </w:rPr>
        <w:footnoteRef/>
      </w:r>
      <w:r>
        <w:t xml:space="preserve"> 45 C.F.R. § 147.130(a)(4).</w:t>
      </w:r>
    </w:p>
  </w:footnote>
  <w:footnote w:id="5">
    <w:p w14:paraId="52942E32" w14:textId="60A336ED" w:rsidR="001F602E" w:rsidRDefault="001F602E" w:rsidP="001F602E">
      <w:pPr>
        <w:pStyle w:val="FootnoteText"/>
      </w:pPr>
      <w:r>
        <w:rPr>
          <w:rStyle w:val="FootnoteReference"/>
        </w:rPr>
        <w:footnoteRef/>
      </w:r>
      <w:r>
        <w:t xml:space="preserve"> </w:t>
      </w:r>
      <w:r w:rsidR="00EB6445" w:rsidRPr="009338B0">
        <w:t>U.S. Preventive Services Task Force</w:t>
      </w:r>
      <w:r w:rsidR="00EB6445">
        <w:t xml:space="preserve">, Final Recommendation Statement - Prevention of Human Immunodeficiency Virus (HIV) Infection: Preexposure Prophylaxis, </w:t>
      </w:r>
      <w:r w:rsidR="00EB6445" w:rsidRPr="00477E3E">
        <w:rPr>
          <w:i/>
          <w:iCs w:val="0"/>
        </w:rPr>
        <w:t xml:space="preserve">available at </w:t>
      </w:r>
      <w:hyperlink r:id="rId1" w:history="1">
        <w:r w:rsidR="00EB6445" w:rsidRPr="00F02FB5">
          <w:rPr>
            <w:rStyle w:val="Hyperlink"/>
          </w:rPr>
          <w:t>https://www.uspreventiveservicestaskforce.org/uspstf/recommendation/prevention-of-human-immunodeficiency-virus-hiv-infection-pre-exposure-prophylaxis</w:t>
        </w:r>
      </w:hyperlink>
      <w:r w:rsidR="00EB6445">
        <w:t>.</w:t>
      </w:r>
    </w:p>
  </w:footnote>
  <w:footnote w:id="6">
    <w:p w14:paraId="19BD1BF1" w14:textId="77777777" w:rsidR="001F602E" w:rsidRDefault="001F602E" w:rsidP="001F602E">
      <w:pPr>
        <w:pStyle w:val="FootnoteText"/>
      </w:pPr>
      <w:r>
        <w:rPr>
          <w:rStyle w:val="FootnoteReference"/>
        </w:rPr>
        <w:footnoteRef/>
      </w:r>
      <w:r>
        <w:t xml:space="preserve"> </w:t>
      </w:r>
      <w:r w:rsidRPr="003A1DB1">
        <w:rPr>
          <w:i/>
          <w:iCs w:val="0"/>
        </w:rPr>
        <w:t>Id</w:t>
      </w:r>
      <w:r>
        <w:t>.</w:t>
      </w:r>
    </w:p>
  </w:footnote>
  <w:footnote w:id="7">
    <w:p w14:paraId="06E5B5FC" w14:textId="77777777" w:rsidR="001F602E" w:rsidRDefault="001F602E" w:rsidP="001F602E">
      <w:pPr>
        <w:pStyle w:val="FootnoteText"/>
      </w:pPr>
      <w:r>
        <w:rPr>
          <w:rStyle w:val="FootnoteReference"/>
        </w:rPr>
        <w:footnoteRef/>
      </w:r>
      <w:r>
        <w:t xml:space="preserve"> </w:t>
      </w:r>
      <w:r w:rsidRPr="003A1DB1">
        <w:rPr>
          <w:i/>
          <w:iCs w:val="0"/>
        </w:rPr>
        <w:t>Id</w:t>
      </w:r>
      <w:r>
        <w:t>.</w:t>
      </w:r>
    </w:p>
  </w:footnote>
  <w:footnote w:id="8">
    <w:p w14:paraId="07888748" w14:textId="63B8A0EF" w:rsidR="001F602E" w:rsidRDefault="001F602E" w:rsidP="001F602E">
      <w:pPr>
        <w:pStyle w:val="FootnoteText"/>
      </w:pPr>
      <w:r>
        <w:rPr>
          <w:rStyle w:val="FootnoteReference"/>
        </w:rPr>
        <w:footnoteRef/>
      </w:r>
      <w:r>
        <w:t xml:space="preserve"> N.Y. Insurance Law § 4903(b)(1), N.Y. Public Health Law § 4903(2)(a), and 29 CFR § 2560.503-1(f)(2)(iii)(A).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B48CA"/>
    <w:multiLevelType w:val="hybridMultilevel"/>
    <w:tmpl w:val="5B6A4A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FC712A4"/>
    <w:multiLevelType w:val="hybridMultilevel"/>
    <w:tmpl w:val="9EC800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6764BF9"/>
    <w:multiLevelType w:val="hybridMultilevel"/>
    <w:tmpl w:val="C47EAF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B1C3270"/>
    <w:multiLevelType w:val="hybridMultilevel"/>
    <w:tmpl w:val="57C20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8403736">
    <w:abstractNumId w:val="3"/>
  </w:num>
  <w:num w:numId="2" w16cid:durableId="869996197">
    <w:abstractNumId w:val="2"/>
  </w:num>
  <w:num w:numId="3" w16cid:durableId="2018727195">
    <w:abstractNumId w:val="1"/>
  </w:num>
  <w:num w:numId="4" w16cid:durableId="548109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57-9111-2862, v. 3"/>
    <w:docVar w:name="ndGeneratedStampLocation" w:val="LastPage"/>
  </w:docVars>
  <w:rsids>
    <w:rsidRoot w:val="00423413"/>
    <w:rsid w:val="00007E79"/>
    <w:rsid w:val="00031518"/>
    <w:rsid w:val="00137D76"/>
    <w:rsid w:val="001638DE"/>
    <w:rsid w:val="0017645F"/>
    <w:rsid w:val="001A28B4"/>
    <w:rsid w:val="001A56B5"/>
    <w:rsid w:val="001C14EE"/>
    <w:rsid w:val="001F602E"/>
    <w:rsid w:val="0024798C"/>
    <w:rsid w:val="00284B22"/>
    <w:rsid w:val="003B0EA7"/>
    <w:rsid w:val="003B11BD"/>
    <w:rsid w:val="003D140D"/>
    <w:rsid w:val="0041404C"/>
    <w:rsid w:val="00423413"/>
    <w:rsid w:val="004470AF"/>
    <w:rsid w:val="00477E3E"/>
    <w:rsid w:val="00482F1B"/>
    <w:rsid w:val="004C0571"/>
    <w:rsid w:val="004C596E"/>
    <w:rsid w:val="00550307"/>
    <w:rsid w:val="00574A3E"/>
    <w:rsid w:val="00590DB5"/>
    <w:rsid w:val="005C0EB2"/>
    <w:rsid w:val="005D0F4C"/>
    <w:rsid w:val="005F3E1F"/>
    <w:rsid w:val="00600DD9"/>
    <w:rsid w:val="00643EFE"/>
    <w:rsid w:val="006667B9"/>
    <w:rsid w:val="006A229F"/>
    <w:rsid w:val="007173DB"/>
    <w:rsid w:val="00723D19"/>
    <w:rsid w:val="00796268"/>
    <w:rsid w:val="007C1A46"/>
    <w:rsid w:val="00816E00"/>
    <w:rsid w:val="008D2540"/>
    <w:rsid w:val="008E2CF5"/>
    <w:rsid w:val="009079A8"/>
    <w:rsid w:val="009205B9"/>
    <w:rsid w:val="009338B0"/>
    <w:rsid w:val="009A48EA"/>
    <w:rsid w:val="009C0206"/>
    <w:rsid w:val="00A2033B"/>
    <w:rsid w:val="00A704F1"/>
    <w:rsid w:val="00AE5050"/>
    <w:rsid w:val="00B145D4"/>
    <w:rsid w:val="00B43C87"/>
    <w:rsid w:val="00B86832"/>
    <w:rsid w:val="00BB2961"/>
    <w:rsid w:val="00C52951"/>
    <w:rsid w:val="00C611DC"/>
    <w:rsid w:val="00C94CB1"/>
    <w:rsid w:val="00CA7259"/>
    <w:rsid w:val="00CF0A66"/>
    <w:rsid w:val="00D17BA3"/>
    <w:rsid w:val="00D256C7"/>
    <w:rsid w:val="00D63A1E"/>
    <w:rsid w:val="00D853DE"/>
    <w:rsid w:val="00DE55E3"/>
    <w:rsid w:val="00EB2ECF"/>
    <w:rsid w:val="00EB6445"/>
    <w:rsid w:val="00EB6C2E"/>
    <w:rsid w:val="00ED7EA0"/>
    <w:rsid w:val="00EF4689"/>
    <w:rsid w:val="00F1558B"/>
    <w:rsid w:val="00F4503C"/>
    <w:rsid w:val="00FF7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172A86CF"/>
  <w15:docId w15:val="{67616F44-2D4E-4268-913F-703F0571F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A66"/>
    <w:rPr>
      <w:iCs/>
    </w:rPr>
  </w:style>
  <w:style w:type="paragraph" w:styleId="Heading1">
    <w:name w:val="heading 1"/>
    <w:basedOn w:val="Normal"/>
    <w:next w:val="Normal"/>
    <w:link w:val="Heading1Char"/>
    <w:uiPriority w:val="9"/>
    <w:qFormat/>
    <w:rsid w:val="00CF0A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0A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F0A6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338B0"/>
    <w:pPr>
      <w:keepNext/>
      <w:keepLines/>
      <w:spacing w:before="40"/>
      <w:outlineLvl w:val="3"/>
    </w:pPr>
    <w:rPr>
      <w:rFonts w:asciiTheme="majorHAnsi" w:eastAsiaTheme="majorEastAsia" w:hAnsiTheme="majorHAnsi" w:cstheme="majorBidi"/>
      <w:i/>
      <w:iCs w:val="0"/>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A66"/>
    <w:rPr>
      <w:rFonts w:asciiTheme="majorHAnsi" w:eastAsiaTheme="majorEastAsia" w:hAnsiTheme="majorHAnsi" w:cstheme="majorBidi"/>
      <w:b/>
      <w:bCs/>
      <w:iCs/>
      <w:color w:val="365F91" w:themeColor="accent1" w:themeShade="BF"/>
      <w:sz w:val="28"/>
      <w:szCs w:val="28"/>
    </w:rPr>
  </w:style>
  <w:style w:type="character" w:customStyle="1" w:styleId="Heading2Char">
    <w:name w:val="Heading 2 Char"/>
    <w:basedOn w:val="DefaultParagraphFont"/>
    <w:link w:val="Heading2"/>
    <w:uiPriority w:val="9"/>
    <w:rsid w:val="00CF0A66"/>
    <w:rPr>
      <w:rFonts w:asciiTheme="majorHAnsi" w:eastAsiaTheme="majorEastAsia" w:hAnsiTheme="majorHAnsi" w:cstheme="majorBidi"/>
      <w:b/>
      <w:bCs/>
      <w:iCs/>
      <w:color w:val="4F81BD" w:themeColor="accent1"/>
      <w:sz w:val="26"/>
      <w:szCs w:val="26"/>
    </w:rPr>
  </w:style>
  <w:style w:type="character" w:customStyle="1" w:styleId="Heading3Char">
    <w:name w:val="Heading 3 Char"/>
    <w:basedOn w:val="DefaultParagraphFont"/>
    <w:link w:val="Heading3"/>
    <w:uiPriority w:val="9"/>
    <w:rsid w:val="00CF0A66"/>
    <w:rPr>
      <w:rFonts w:asciiTheme="majorHAnsi" w:eastAsiaTheme="majorEastAsia" w:hAnsiTheme="majorHAnsi" w:cstheme="majorBidi"/>
      <w:b/>
      <w:bCs/>
      <w:iCs/>
      <w:color w:val="4F81BD" w:themeColor="accent1"/>
    </w:rPr>
  </w:style>
  <w:style w:type="paragraph" w:styleId="NoSpacing">
    <w:name w:val="No Spacing"/>
    <w:uiPriority w:val="1"/>
    <w:qFormat/>
    <w:rsid w:val="00CF0A66"/>
    <w:rPr>
      <w:iCs/>
    </w:rPr>
  </w:style>
  <w:style w:type="paragraph" w:styleId="BalloonText">
    <w:name w:val="Balloon Text"/>
    <w:basedOn w:val="Normal"/>
    <w:link w:val="BalloonTextChar"/>
    <w:uiPriority w:val="99"/>
    <w:semiHidden/>
    <w:unhideWhenUsed/>
    <w:rsid w:val="00423413"/>
    <w:rPr>
      <w:rFonts w:ascii="Tahoma" w:hAnsi="Tahoma" w:cs="Tahoma"/>
      <w:sz w:val="16"/>
      <w:szCs w:val="16"/>
    </w:rPr>
  </w:style>
  <w:style w:type="character" w:customStyle="1" w:styleId="BalloonTextChar">
    <w:name w:val="Balloon Text Char"/>
    <w:basedOn w:val="DefaultParagraphFont"/>
    <w:link w:val="BalloonText"/>
    <w:uiPriority w:val="99"/>
    <w:semiHidden/>
    <w:rsid w:val="00423413"/>
    <w:rPr>
      <w:rFonts w:ascii="Tahoma" w:hAnsi="Tahoma" w:cs="Tahoma"/>
      <w:iCs/>
      <w:sz w:val="16"/>
      <w:szCs w:val="16"/>
    </w:rPr>
  </w:style>
  <w:style w:type="paragraph" w:styleId="FootnoteText">
    <w:name w:val="footnote text"/>
    <w:basedOn w:val="Normal"/>
    <w:link w:val="FootnoteTextChar"/>
    <w:uiPriority w:val="99"/>
    <w:semiHidden/>
    <w:unhideWhenUsed/>
    <w:rsid w:val="00423413"/>
    <w:rPr>
      <w:sz w:val="20"/>
    </w:rPr>
  </w:style>
  <w:style w:type="character" w:customStyle="1" w:styleId="FootnoteTextChar">
    <w:name w:val="Footnote Text Char"/>
    <w:basedOn w:val="DefaultParagraphFont"/>
    <w:link w:val="FootnoteText"/>
    <w:uiPriority w:val="99"/>
    <w:semiHidden/>
    <w:rsid w:val="00423413"/>
    <w:rPr>
      <w:iCs/>
      <w:sz w:val="20"/>
    </w:rPr>
  </w:style>
  <w:style w:type="character" w:styleId="FootnoteReference">
    <w:name w:val="footnote reference"/>
    <w:basedOn w:val="DefaultParagraphFont"/>
    <w:uiPriority w:val="99"/>
    <w:semiHidden/>
    <w:unhideWhenUsed/>
    <w:rsid w:val="00423413"/>
    <w:rPr>
      <w:vertAlign w:val="superscript"/>
    </w:rPr>
  </w:style>
  <w:style w:type="character" w:customStyle="1" w:styleId="Heading4Char">
    <w:name w:val="Heading 4 Char"/>
    <w:basedOn w:val="DefaultParagraphFont"/>
    <w:link w:val="Heading4"/>
    <w:uiPriority w:val="9"/>
    <w:semiHidden/>
    <w:rsid w:val="009338B0"/>
    <w:rPr>
      <w:rFonts w:asciiTheme="majorHAnsi" w:eastAsiaTheme="majorEastAsia" w:hAnsiTheme="majorHAnsi" w:cstheme="majorBidi"/>
      <w:i/>
      <w:color w:val="365F91" w:themeColor="accent1" w:themeShade="BF"/>
    </w:rPr>
  </w:style>
  <w:style w:type="character" w:styleId="Hyperlink">
    <w:name w:val="Hyperlink"/>
    <w:basedOn w:val="DefaultParagraphFont"/>
    <w:uiPriority w:val="99"/>
    <w:unhideWhenUsed/>
    <w:rsid w:val="009338B0"/>
    <w:rPr>
      <w:color w:val="0000FF" w:themeColor="hyperlink"/>
      <w:u w:val="single"/>
    </w:rPr>
  </w:style>
  <w:style w:type="character" w:styleId="UnresolvedMention">
    <w:name w:val="Unresolved Mention"/>
    <w:basedOn w:val="DefaultParagraphFont"/>
    <w:uiPriority w:val="99"/>
    <w:semiHidden/>
    <w:unhideWhenUsed/>
    <w:rsid w:val="009338B0"/>
    <w:rPr>
      <w:color w:val="605E5C"/>
      <w:shd w:val="clear" w:color="auto" w:fill="E1DFDD"/>
    </w:rPr>
  </w:style>
  <w:style w:type="paragraph" w:styleId="ListParagraph">
    <w:name w:val="List Paragraph"/>
    <w:basedOn w:val="Normal"/>
    <w:uiPriority w:val="34"/>
    <w:qFormat/>
    <w:rsid w:val="00137D76"/>
    <w:pPr>
      <w:ind w:left="720"/>
      <w:contextualSpacing/>
    </w:pPr>
  </w:style>
  <w:style w:type="character" w:styleId="FollowedHyperlink">
    <w:name w:val="FollowedHyperlink"/>
    <w:basedOn w:val="DefaultParagraphFont"/>
    <w:uiPriority w:val="99"/>
    <w:semiHidden/>
    <w:unhideWhenUsed/>
    <w:rsid w:val="004470AF"/>
    <w:rPr>
      <w:color w:val="800080" w:themeColor="followedHyperlink"/>
      <w:u w:val="single"/>
    </w:rPr>
  </w:style>
  <w:style w:type="paragraph" w:styleId="Revision">
    <w:name w:val="Revision"/>
    <w:hidden/>
    <w:uiPriority w:val="99"/>
    <w:semiHidden/>
    <w:rsid w:val="004C0571"/>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443467">
      <w:bodyDiv w:val="1"/>
      <w:marLeft w:val="0"/>
      <w:marRight w:val="0"/>
      <w:marTop w:val="0"/>
      <w:marBottom w:val="0"/>
      <w:divBdr>
        <w:top w:val="none" w:sz="0" w:space="0" w:color="auto"/>
        <w:left w:val="none" w:sz="0" w:space="0" w:color="auto"/>
        <w:bottom w:val="none" w:sz="0" w:space="0" w:color="auto"/>
        <w:right w:val="none" w:sz="0" w:space="0" w:color="auto"/>
      </w:divBdr>
    </w:div>
    <w:div w:id="1197617941">
      <w:bodyDiv w:val="1"/>
      <w:marLeft w:val="0"/>
      <w:marRight w:val="0"/>
      <w:marTop w:val="0"/>
      <w:marBottom w:val="0"/>
      <w:divBdr>
        <w:top w:val="none" w:sz="0" w:space="0" w:color="auto"/>
        <w:left w:val="none" w:sz="0" w:space="0" w:color="auto"/>
        <w:bottom w:val="none" w:sz="0" w:space="0" w:color="auto"/>
        <w:right w:val="none" w:sz="0" w:space="0" w:color="auto"/>
      </w:divBdr>
    </w:div>
    <w:div w:id="1355224763">
      <w:bodyDiv w:val="1"/>
      <w:marLeft w:val="0"/>
      <w:marRight w:val="0"/>
      <w:marTop w:val="0"/>
      <w:marBottom w:val="0"/>
      <w:divBdr>
        <w:top w:val="none" w:sz="0" w:space="0" w:color="auto"/>
        <w:left w:val="none" w:sz="0" w:space="0" w:color="auto"/>
        <w:bottom w:val="none" w:sz="0" w:space="0" w:color="auto"/>
        <w:right w:val="none" w:sz="0" w:space="0" w:color="auto"/>
      </w:divBdr>
    </w:div>
    <w:div w:id="1516307750">
      <w:bodyDiv w:val="1"/>
      <w:marLeft w:val="0"/>
      <w:marRight w:val="0"/>
      <w:marTop w:val="0"/>
      <w:marBottom w:val="0"/>
      <w:divBdr>
        <w:top w:val="none" w:sz="0" w:space="0" w:color="auto"/>
        <w:left w:val="none" w:sz="0" w:space="0" w:color="auto"/>
        <w:bottom w:val="none" w:sz="0" w:space="0" w:color="auto"/>
        <w:right w:val="none" w:sz="0" w:space="0" w:color="auto"/>
      </w:divBdr>
    </w:div>
    <w:div w:id="198091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spreventiveservicestaskforce.org/uspstf/recommendation/prevention-of-human-immunodeficiency-virus-hiv-infection-pre-exposure-prophylax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B078F-E377-4879-95D7-30D79FE00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Hinman Straub, pc</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 Paulsen</dc:creator>
  <cp:keywords/>
  <dc:description/>
  <cp:lastModifiedBy>Daniel Hinckley</cp:lastModifiedBy>
  <cp:revision>2</cp:revision>
  <cp:lastPrinted>2024-03-11T20:38:00Z</cp:lastPrinted>
  <dcterms:created xsi:type="dcterms:W3CDTF">2024-03-21T17:23:00Z</dcterms:created>
  <dcterms:modified xsi:type="dcterms:W3CDTF">2024-03-21T17:23:00Z</dcterms:modified>
</cp:coreProperties>
</file>