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A20B7" w14:textId="77777777" w:rsidR="001F7816" w:rsidRPr="001F7816" w:rsidRDefault="001F7816" w:rsidP="001F7816">
      <w:pPr>
        <w:rPr>
          <w:rFonts w:eastAsia="Times New Roman"/>
          <w:iCs w:val="0"/>
          <w:szCs w:val="24"/>
        </w:rPr>
      </w:pPr>
      <w:r>
        <w:rPr>
          <w:rFonts w:eastAsia="Times New Roman"/>
          <w:iCs w:val="0"/>
          <w:noProof/>
          <w:szCs w:val="24"/>
        </w:rPr>
        <w:drawing>
          <wp:inline distT="0" distB="0" distL="0" distR="0" wp14:anchorId="2D42B184" wp14:editId="0E380D3B">
            <wp:extent cx="1431290" cy="580390"/>
            <wp:effectExtent l="0" t="0" r="0" b="0"/>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580390"/>
                    </a:xfrm>
                    <a:prstGeom prst="rect">
                      <a:avLst/>
                    </a:prstGeom>
                    <a:noFill/>
                    <a:ln>
                      <a:noFill/>
                    </a:ln>
                  </pic:spPr>
                </pic:pic>
              </a:graphicData>
            </a:graphic>
          </wp:inline>
        </w:drawing>
      </w:r>
    </w:p>
    <w:p w14:paraId="58F5DE73" w14:textId="77777777" w:rsidR="001F7816" w:rsidRPr="001F7816" w:rsidRDefault="001F7816" w:rsidP="001F7816">
      <w:pPr>
        <w:rPr>
          <w:rFonts w:ascii="EngraversGothic BT" w:eastAsia="Times New Roman" w:hAnsi="EngraversGothic BT"/>
          <w:iCs w:val="0"/>
          <w:sz w:val="16"/>
          <w:szCs w:val="16"/>
        </w:rPr>
      </w:pPr>
    </w:p>
    <w:p w14:paraId="6B63D70A" w14:textId="77777777" w:rsidR="001F7816" w:rsidRPr="001F7816" w:rsidRDefault="001F7816" w:rsidP="001F7816">
      <w:pPr>
        <w:rPr>
          <w:rFonts w:ascii="EngraversGothic BT" w:eastAsia="Times New Roman" w:hAnsi="EngraversGothic BT"/>
          <w:iCs w:val="0"/>
          <w:sz w:val="18"/>
          <w:szCs w:val="18"/>
        </w:rPr>
      </w:pPr>
      <w:smartTag w:uri="urn:schemas-microsoft-com:office:smarttags" w:element="address">
        <w:smartTag w:uri="urn:schemas-microsoft-com:office:smarttags" w:element="Street">
          <w:r w:rsidRPr="001F7816">
            <w:rPr>
              <w:rFonts w:ascii="EngraversGothic BT" w:eastAsia="Times New Roman" w:hAnsi="EngraversGothic BT"/>
              <w:iCs w:val="0"/>
              <w:sz w:val="18"/>
              <w:szCs w:val="18"/>
            </w:rPr>
            <w:t>121 State Street</w:t>
          </w:r>
        </w:smartTag>
      </w:smartTag>
    </w:p>
    <w:p w14:paraId="703D7EBC" w14:textId="77777777" w:rsidR="001F7816" w:rsidRPr="001F7816" w:rsidRDefault="001F7816" w:rsidP="001F7816">
      <w:pPr>
        <w:rPr>
          <w:rFonts w:ascii="EngraversGothic BT" w:eastAsia="Times New Roman" w:hAnsi="EngraversGothic BT"/>
          <w:iCs w:val="0"/>
          <w:sz w:val="18"/>
          <w:szCs w:val="18"/>
        </w:rPr>
      </w:pPr>
      <w:smartTag w:uri="urn:schemas-microsoft-com:office:smarttags" w:element="place">
        <w:smartTag w:uri="urn:schemas-microsoft-com:office:smarttags" w:element="City">
          <w:r w:rsidRPr="001F7816">
            <w:rPr>
              <w:rFonts w:ascii="EngraversGothic BT" w:eastAsia="Times New Roman" w:hAnsi="EngraversGothic BT"/>
              <w:iCs w:val="0"/>
              <w:sz w:val="18"/>
              <w:szCs w:val="18"/>
            </w:rPr>
            <w:t>Albany</w:t>
          </w:r>
        </w:smartTag>
        <w:r w:rsidRPr="001F7816">
          <w:rPr>
            <w:rFonts w:ascii="EngraversGothic BT" w:eastAsia="Times New Roman" w:hAnsi="EngraversGothic BT"/>
            <w:iCs w:val="0"/>
            <w:sz w:val="18"/>
            <w:szCs w:val="18"/>
          </w:rPr>
          <w:t xml:space="preserve">, </w:t>
        </w:r>
        <w:smartTag w:uri="urn:schemas-microsoft-com:office:smarttags" w:element="State">
          <w:r w:rsidRPr="001F7816">
            <w:rPr>
              <w:rFonts w:ascii="EngraversGothic BT" w:eastAsia="Times New Roman" w:hAnsi="EngraversGothic BT"/>
              <w:iCs w:val="0"/>
              <w:sz w:val="18"/>
              <w:szCs w:val="18"/>
            </w:rPr>
            <w:t>New York</w:t>
          </w:r>
        </w:smartTag>
        <w:r w:rsidRPr="001F7816">
          <w:rPr>
            <w:rFonts w:ascii="EngraversGothic BT" w:eastAsia="Times New Roman" w:hAnsi="EngraversGothic BT"/>
            <w:iCs w:val="0"/>
            <w:sz w:val="18"/>
            <w:szCs w:val="18"/>
          </w:rPr>
          <w:t xml:space="preserve"> </w:t>
        </w:r>
        <w:smartTag w:uri="urn:schemas-microsoft-com:office:smarttags" w:element="PostalCode">
          <w:r w:rsidRPr="001F7816">
            <w:rPr>
              <w:rFonts w:ascii="EngraversGothic BT" w:eastAsia="Times New Roman" w:hAnsi="EngraversGothic BT"/>
              <w:iCs w:val="0"/>
              <w:sz w:val="18"/>
              <w:szCs w:val="18"/>
            </w:rPr>
            <w:t>12207-1693</w:t>
          </w:r>
        </w:smartTag>
      </w:smartTag>
    </w:p>
    <w:p w14:paraId="0233E5EA" w14:textId="77777777" w:rsidR="001F7816" w:rsidRPr="001F7816" w:rsidRDefault="001F7816" w:rsidP="001F7816">
      <w:pPr>
        <w:rPr>
          <w:rFonts w:ascii="EngraversGothic BT" w:eastAsia="Times New Roman" w:hAnsi="EngraversGothic BT"/>
          <w:iCs w:val="0"/>
          <w:sz w:val="18"/>
          <w:szCs w:val="18"/>
        </w:rPr>
      </w:pPr>
      <w:r w:rsidRPr="001F7816">
        <w:rPr>
          <w:rFonts w:ascii="EngraversGothic BT" w:eastAsia="Times New Roman" w:hAnsi="EngraversGothic BT"/>
          <w:iCs w:val="0"/>
          <w:sz w:val="18"/>
          <w:szCs w:val="18"/>
        </w:rPr>
        <w:t>Tel:  518-436-0751</w:t>
      </w:r>
    </w:p>
    <w:p w14:paraId="1C07FFFA" w14:textId="77777777" w:rsidR="001F7816" w:rsidRPr="001F7816" w:rsidRDefault="001F7816" w:rsidP="001F7816">
      <w:pPr>
        <w:rPr>
          <w:rFonts w:ascii="EngravrsRoman BT" w:eastAsia="Times New Roman" w:hAnsi="EngravrsRoman BT"/>
          <w:iCs w:val="0"/>
          <w:sz w:val="18"/>
          <w:szCs w:val="18"/>
        </w:rPr>
      </w:pPr>
      <w:r w:rsidRPr="001F7816">
        <w:rPr>
          <w:rFonts w:ascii="EngraversGothic BT" w:eastAsia="Times New Roman" w:hAnsi="EngraversGothic BT"/>
          <w:iCs w:val="0"/>
          <w:sz w:val="18"/>
          <w:szCs w:val="18"/>
        </w:rPr>
        <w:t>Fax: 518-436-4751</w:t>
      </w:r>
    </w:p>
    <w:p w14:paraId="79F3D59D" w14:textId="77777777" w:rsidR="000651FB" w:rsidRDefault="000651FB" w:rsidP="001F7816">
      <w:pPr>
        <w:rPr>
          <w:rFonts w:eastAsia="Times New Roman"/>
          <w:iCs w:val="0"/>
          <w:szCs w:val="24"/>
        </w:rPr>
      </w:pPr>
    </w:p>
    <w:p w14:paraId="10803BB6" w14:textId="03B7849B" w:rsidR="00764EAA" w:rsidRDefault="001C001B" w:rsidP="001F7816">
      <w:pPr>
        <w:rPr>
          <w:rFonts w:eastAsia="Times New Roman"/>
          <w:iCs w:val="0"/>
          <w:szCs w:val="24"/>
        </w:rPr>
      </w:pPr>
      <w:r>
        <w:rPr>
          <w:rFonts w:eastAsia="Times New Roman"/>
          <w:iCs w:val="0"/>
          <w:szCs w:val="24"/>
        </w:rPr>
        <w:fldChar w:fldCharType="begin"/>
      </w:r>
      <w:r>
        <w:rPr>
          <w:rFonts w:eastAsia="Times New Roman"/>
          <w:iCs w:val="0"/>
          <w:szCs w:val="24"/>
        </w:rPr>
        <w:instrText xml:space="preserve"> DATE \@ "MMMM d, yyyy" </w:instrText>
      </w:r>
      <w:r>
        <w:rPr>
          <w:rFonts w:eastAsia="Times New Roman"/>
          <w:iCs w:val="0"/>
          <w:szCs w:val="24"/>
        </w:rPr>
        <w:fldChar w:fldCharType="separate"/>
      </w:r>
      <w:r w:rsidR="000A6C44">
        <w:rPr>
          <w:rFonts w:eastAsia="Times New Roman"/>
          <w:iCs w:val="0"/>
          <w:noProof/>
          <w:szCs w:val="24"/>
        </w:rPr>
        <w:t>March 21, 2024</w:t>
      </w:r>
      <w:r>
        <w:rPr>
          <w:rFonts w:eastAsia="Times New Roman"/>
          <w:iCs w:val="0"/>
          <w:szCs w:val="24"/>
        </w:rPr>
        <w:fldChar w:fldCharType="end"/>
      </w:r>
    </w:p>
    <w:p w14:paraId="2556B954" w14:textId="77777777" w:rsidR="001C001B" w:rsidRPr="001F7816" w:rsidRDefault="001C001B" w:rsidP="001F7816">
      <w:pPr>
        <w:rPr>
          <w:rFonts w:eastAsia="Times New Roman"/>
          <w:iCs w:val="0"/>
          <w:szCs w:val="24"/>
        </w:rPr>
      </w:pPr>
    </w:p>
    <w:p w14:paraId="227F6107" w14:textId="77777777" w:rsidR="001F7816" w:rsidRPr="001F7816" w:rsidRDefault="001F7816" w:rsidP="001C001B">
      <w:pPr>
        <w:ind w:left="540" w:right="5130" w:hanging="540"/>
        <w:jc w:val="both"/>
        <w:rPr>
          <w:rFonts w:eastAsia="Times New Roman"/>
          <w:iCs w:val="0"/>
          <w:szCs w:val="24"/>
        </w:rPr>
      </w:pPr>
      <w:r w:rsidRPr="001F7816">
        <w:rPr>
          <w:rFonts w:eastAsia="Times New Roman"/>
          <w:iCs w:val="0"/>
          <w:szCs w:val="24"/>
        </w:rPr>
        <w:t>RE:</w:t>
      </w:r>
      <w:r w:rsidRPr="001F7816">
        <w:rPr>
          <w:rFonts w:eastAsia="Times New Roman"/>
          <w:iCs w:val="0"/>
          <w:szCs w:val="24"/>
        </w:rPr>
        <w:tab/>
        <w:t>AN ACT to amend the public health law, in relation to requirements for collective negotiations by health care providers with certain health benefit plans</w:t>
      </w:r>
    </w:p>
    <w:p w14:paraId="0BBA0DF5" w14:textId="77777777" w:rsidR="001F7816" w:rsidRPr="001F7816" w:rsidRDefault="001F7816" w:rsidP="001F7816">
      <w:pPr>
        <w:jc w:val="center"/>
        <w:rPr>
          <w:rFonts w:eastAsia="Times New Roman"/>
          <w:iCs w:val="0"/>
          <w:szCs w:val="24"/>
        </w:rPr>
      </w:pPr>
    </w:p>
    <w:p w14:paraId="7BB61D42" w14:textId="6D95D532" w:rsidR="001F7816" w:rsidRDefault="009046DD" w:rsidP="001F7816">
      <w:pPr>
        <w:jc w:val="center"/>
        <w:rPr>
          <w:rFonts w:eastAsia="Times New Roman"/>
          <w:iCs w:val="0"/>
          <w:szCs w:val="24"/>
        </w:rPr>
      </w:pPr>
      <w:r>
        <w:rPr>
          <w:rFonts w:eastAsia="Times New Roman"/>
          <w:iCs w:val="0"/>
          <w:szCs w:val="24"/>
        </w:rPr>
        <w:t>A</w:t>
      </w:r>
      <w:r w:rsidR="002B7E95">
        <w:rPr>
          <w:rFonts w:eastAsia="Times New Roman"/>
          <w:iCs w:val="0"/>
          <w:szCs w:val="24"/>
        </w:rPr>
        <w:t>.6019</w:t>
      </w:r>
      <w:r w:rsidR="001F7816" w:rsidRPr="001F7816">
        <w:rPr>
          <w:rFonts w:eastAsia="Times New Roman"/>
          <w:iCs w:val="0"/>
          <w:szCs w:val="24"/>
        </w:rPr>
        <w:t xml:space="preserve"> (</w:t>
      </w:r>
      <w:r w:rsidR="002B7E95">
        <w:rPr>
          <w:rFonts w:eastAsia="Times New Roman"/>
          <w:iCs w:val="0"/>
          <w:szCs w:val="24"/>
        </w:rPr>
        <w:t>Paulin</w:t>
      </w:r>
      <w:r w:rsidR="001F7816" w:rsidRPr="001F7816">
        <w:rPr>
          <w:rFonts w:eastAsia="Times New Roman"/>
          <w:iCs w:val="0"/>
          <w:szCs w:val="24"/>
        </w:rPr>
        <w:t>)</w:t>
      </w:r>
    </w:p>
    <w:p w14:paraId="148D6218" w14:textId="20BD12F7" w:rsidR="00C25639" w:rsidRPr="001F7816" w:rsidRDefault="00C25639" w:rsidP="001F7816">
      <w:pPr>
        <w:jc w:val="center"/>
        <w:rPr>
          <w:rFonts w:eastAsia="Times New Roman"/>
          <w:iCs w:val="0"/>
          <w:szCs w:val="24"/>
        </w:rPr>
      </w:pPr>
      <w:r>
        <w:rPr>
          <w:rFonts w:eastAsia="Times New Roman"/>
          <w:iCs w:val="0"/>
          <w:szCs w:val="24"/>
        </w:rPr>
        <w:t>S</w:t>
      </w:r>
      <w:r w:rsidR="002B7E95">
        <w:rPr>
          <w:rFonts w:eastAsia="Times New Roman"/>
          <w:iCs w:val="0"/>
          <w:szCs w:val="24"/>
        </w:rPr>
        <w:t>.4785</w:t>
      </w:r>
      <w:r>
        <w:rPr>
          <w:rFonts w:eastAsia="Times New Roman"/>
          <w:iCs w:val="0"/>
          <w:szCs w:val="24"/>
        </w:rPr>
        <w:t xml:space="preserve"> (Rivera)</w:t>
      </w:r>
    </w:p>
    <w:p w14:paraId="0EF8E29A" w14:textId="77777777" w:rsidR="001F7816" w:rsidRPr="001F7816" w:rsidRDefault="001F7816" w:rsidP="001F7816">
      <w:pPr>
        <w:jc w:val="center"/>
        <w:rPr>
          <w:rFonts w:eastAsia="Times New Roman"/>
          <w:iCs w:val="0"/>
          <w:szCs w:val="24"/>
        </w:rPr>
      </w:pPr>
    </w:p>
    <w:p w14:paraId="7D19E40A" w14:textId="77777777" w:rsidR="001F7816" w:rsidRPr="001F7816" w:rsidRDefault="001F7816" w:rsidP="001F7816">
      <w:pPr>
        <w:jc w:val="center"/>
        <w:rPr>
          <w:rFonts w:eastAsia="Times New Roman"/>
          <w:b/>
          <w:iCs w:val="0"/>
          <w:szCs w:val="24"/>
          <w:u w:val="single"/>
        </w:rPr>
      </w:pPr>
      <w:r w:rsidRPr="001F7816">
        <w:rPr>
          <w:rFonts w:eastAsia="Times New Roman"/>
          <w:b/>
          <w:iCs w:val="0"/>
          <w:szCs w:val="24"/>
          <w:u w:val="single"/>
        </w:rPr>
        <w:t>MEMORANDUM IN OPPOSITION</w:t>
      </w:r>
    </w:p>
    <w:p w14:paraId="654E5961" w14:textId="77777777" w:rsidR="001F7816" w:rsidRPr="001F7816" w:rsidRDefault="001F7816" w:rsidP="001F7816">
      <w:pPr>
        <w:jc w:val="center"/>
        <w:rPr>
          <w:rFonts w:eastAsia="Times New Roman"/>
          <w:b/>
          <w:iCs w:val="0"/>
          <w:szCs w:val="24"/>
          <w:u w:val="single"/>
        </w:rPr>
      </w:pPr>
    </w:p>
    <w:p w14:paraId="09C7C0EC" w14:textId="77777777" w:rsidR="001F7816" w:rsidRPr="001F7816" w:rsidRDefault="001F7816" w:rsidP="001F7816">
      <w:pPr>
        <w:jc w:val="center"/>
        <w:rPr>
          <w:rFonts w:eastAsia="Times New Roman"/>
          <w:iCs w:val="0"/>
          <w:szCs w:val="24"/>
        </w:rPr>
      </w:pPr>
      <w:r w:rsidRPr="001F7816">
        <w:rPr>
          <w:rFonts w:eastAsia="Times New Roman"/>
          <w:iCs w:val="0"/>
          <w:szCs w:val="24"/>
        </w:rPr>
        <w:t>Submitted on behalf of the Blue Cross and Blue Shield Plans</w:t>
      </w:r>
    </w:p>
    <w:p w14:paraId="4F40D9AD" w14:textId="77777777" w:rsidR="001F7816" w:rsidRPr="001F7816" w:rsidRDefault="001F7816" w:rsidP="001F7816">
      <w:pPr>
        <w:rPr>
          <w:rFonts w:eastAsia="Times New Roman"/>
          <w:iCs w:val="0"/>
          <w:szCs w:val="24"/>
        </w:rPr>
      </w:pPr>
    </w:p>
    <w:p w14:paraId="05EBA7AE" w14:textId="40BF1813" w:rsidR="001F7816" w:rsidRPr="001F7816" w:rsidRDefault="00EC7E9A" w:rsidP="00AB4EC2">
      <w:pPr>
        <w:jc w:val="both"/>
        <w:rPr>
          <w:rFonts w:eastAsia="Times New Roman"/>
          <w:iCs w:val="0"/>
          <w:szCs w:val="24"/>
        </w:rPr>
      </w:pPr>
      <w:r w:rsidRPr="00090C14">
        <w:t>The New York State Conference of Blue Cross and Blue Shield Plans</w:t>
      </w:r>
      <w:r>
        <w:t xml:space="preserve"> strongly</w:t>
      </w:r>
      <w:r w:rsidRPr="00090C14">
        <w:t xml:space="preserve"> oppose</w:t>
      </w:r>
      <w:r>
        <w:t>s</w:t>
      </w:r>
      <w:r w:rsidRPr="00090C14">
        <w:t xml:space="preserve"> </w:t>
      </w:r>
      <w:r w:rsidR="001F7816" w:rsidRPr="001F7816">
        <w:rPr>
          <w:rFonts w:eastAsia="Times New Roman"/>
          <w:iCs w:val="0"/>
          <w:szCs w:val="24"/>
        </w:rPr>
        <w:t>enactment of this bill, which would authorize “collective negotiation” by physicians</w:t>
      </w:r>
      <w:r w:rsidR="009046DD">
        <w:rPr>
          <w:rFonts w:eastAsia="Times New Roman"/>
          <w:iCs w:val="0"/>
          <w:szCs w:val="24"/>
        </w:rPr>
        <w:t xml:space="preserve">, hospitals, </w:t>
      </w:r>
      <w:r w:rsidR="005C42E8">
        <w:rPr>
          <w:rFonts w:eastAsia="Times New Roman"/>
          <w:iCs w:val="0"/>
          <w:szCs w:val="24"/>
        </w:rPr>
        <w:t>Accountable Care Organizations (</w:t>
      </w:r>
      <w:r w:rsidR="002B7E95">
        <w:rPr>
          <w:rFonts w:eastAsia="Times New Roman"/>
          <w:iCs w:val="0"/>
          <w:szCs w:val="24"/>
        </w:rPr>
        <w:t>“</w:t>
      </w:r>
      <w:r w:rsidR="005C42E8">
        <w:rPr>
          <w:rFonts w:eastAsia="Times New Roman"/>
          <w:iCs w:val="0"/>
          <w:szCs w:val="24"/>
        </w:rPr>
        <w:t>ACOs</w:t>
      </w:r>
      <w:r w:rsidR="002B7E95">
        <w:rPr>
          <w:rFonts w:eastAsia="Times New Roman"/>
          <w:iCs w:val="0"/>
          <w:szCs w:val="24"/>
        </w:rPr>
        <w:t>”</w:t>
      </w:r>
      <w:r w:rsidR="005C42E8">
        <w:rPr>
          <w:rFonts w:eastAsia="Times New Roman"/>
          <w:iCs w:val="0"/>
          <w:szCs w:val="24"/>
        </w:rPr>
        <w:t>)</w:t>
      </w:r>
      <w:r w:rsidR="009046DD">
        <w:rPr>
          <w:rFonts w:eastAsia="Times New Roman"/>
          <w:iCs w:val="0"/>
          <w:szCs w:val="24"/>
        </w:rPr>
        <w:t>, and other health care providers.</w:t>
      </w:r>
      <w:r w:rsidR="001F7816" w:rsidRPr="001F7816">
        <w:rPr>
          <w:rFonts w:eastAsia="Times New Roman"/>
          <w:iCs w:val="0"/>
          <w:szCs w:val="24"/>
        </w:rPr>
        <w:t xml:space="preserve"> Specifically, this legislation </w:t>
      </w:r>
      <w:r w:rsidR="002B7E95">
        <w:rPr>
          <w:rFonts w:eastAsia="Times New Roman"/>
          <w:iCs w:val="0"/>
          <w:szCs w:val="24"/>
        </w:rPr>
        <w:t xml:space="preserve">would </w:t>
      </w:r>
      <w:r w:rsidR="001F7816" w:rsidRPr="001F7816">
        <w:rPr>
          <w:rFonts w:eastAsia="Times New Roman"/>
          <w:iCs w:val="0"/>
          <w:szCs w:val="24"/>
        </w:rPr>
        <w:t>exempt physician practices</w:t>
      </w:r>
      <w:r w:rsidR="005C42E8">
        <w:rPr>
          <w:rFonts w:eastAsia="Times New Roman"/>
          <w:iCs w:val="0"/>
          <w:szCs w:val="24"/>
        </w:rPr>
        <w:t xml:space="preserve"> and hospitals</w:t>
      </w:r>
      <w:r w:rsidR="001F7816" w:rsidRPr="001F7816">
        <w:rPr>
          <w:rFonts w:eastAsia="Times New Roman"/>
          <w:iCs w:val="0"/>
          <w:szCs w:val="24"/>
        </w:rPr>
        <w:t xml:space="preserve"> from those New York antitrust laws </w:t>
      </w:r>
      <w:r w:rsidR="002B7E95">
        <w:rPr>
          <w:rFonts w:eastAsia="Times New Roman"/>
          <w:iCs w:val="0"/>
          <w:szCs w:val="24"/>
        </w:rPr>
        <w:t>that</w:t>
      </w:r>
      <w:r w:rsidR="001F7816" w:rsidRPr="001F7816">
        <w:rPr>
          <w:rFonts w:eastAsia="Times New Roman"/>
          <w:iCs w:val="0"/>
          <w:szCs w:val="24"/>
        </w:rPr>
        <w:t xml:space="preserve"> are expressly designed to prevent monopolistic practices and anticompetitive behavior.  The purpose of this </w:t>
      </w:r>
      <w:r w:rsidR="002B7E95">
        <w:rPr>
          <w:rFonts w:eastAsia="Times New Roman"/>
          <w:iCs w:val="0"/>
          <w:szCs w:val="24"/>
        </w:rPr>
        <w:t>b</w:t>
      </w:r>
      <w:r w:rsidR="001F7816" w:rsidRPr="001F7816">
        <w:rPr>
          <w:rFonts w:eastAsia="Times New Roman"/>
          <w:iCs w:val="0"/>
          <w:szCs w:val="24"/>
        </w:rPr>
        <w:t xml:space="preserve">ill is simply to allow unrelated physicians and </w:t>
      </w:r>
      <w:r w:rsidR="005C42E8">
        <w:rPr>
          <w:rFonts w:eastAsia="Times New Roman"/>
          <w:iCs w:val="0"/>
          <w:szCs w:val="24"/>
        </w:rPr>
        <w:t>hospitals</w:t>
      </w:r>
      <w:r w:rsidR="001F7816" w:rsidRPr="001F7816">
        <w:rPr>
          <w:rFonts w:eastAsia="Times New Roman"/>
          <w:iCs w:val="0"/>
          <w:szCs w:val="24"/>
        </w:rPr>
        <w:t xml:space="preserve"> to join together in order to increase their revenues. By increasing their profits, the physicians </w:t>
      </w:r>
      <w:r w:rsidR="005C42E8">
        <w:rPr>
          <w:rFonts w:eastAsia="Times New Roman"/>
          <w:iCs w:val="0"/>
          <w:szCs w:val="24"/>
        </w:rPr>
        <w:t xml:space="preserve">and hospitals </w:t>
      </w:r>
      <w:r w:rsidR="001F7816" w:rsidRPr="001F7816">
        <w:rPr>
          <w:rFonts w:eastAsia="Times New Roman"/>
          <w:iCs w:val="0"/>
          <w:szCs w:val="24"/>
        </w:rPr>
        <w:t xml:space="preserve">will also be increasing costs for consumers. </w:t>
      </w:r>
      <w:r w:rsidR="001F7816" w:rsidRPr="001F7816">
        <w:rPr>
          <w:rFonts w:eastAsia="Times New Roman"/>
          <w:b/>
          <w:iCs w:val="0"/>
          <w:szCs w:val="24"/>
        </w:rPr>
        <w:t>This is the exact conclusion reached by the Federal Trade Commission when it concluded that this identical legislation “</w:t>
      </w:r>
      <w:r w:rsidR="001F7816" w:rsidRPr="001F7816">
        <w:rPr>
          <w:rFonts w:eastAsia="Times New Roman"/>
          <w:b/>
          <w:iCs w:val="0"/>
          <w:szCs w:val="24"/>
          <w:u w:val="single"/>
        </w:rPr>
        <w:t>poses a significant risk of consumer harm by increasing costs, impeding innovation, and decreasing access to health care</w:t>
      </w:r>
      <w:r w:rsidR="002B7E95">
        <w:rPr>
          <w:rFonts w:eastAsia="Times New Roman"/>
          <w:b/>
          <w:iCs w:val="0"/>
          <w:szCs w:val="24"/>
          <w:u w:val="single"/>
        </w:rPr>
        <w:t>.</w:t>
      </w:r>
      <w:r w:rsidR="001F7816" w:rsidRPr="001F7816">
        <w:rPr>
          <w:rFonts w:eastAsia="Times New Roman"/>
          <w:iCs w:val="0"/>
          <w:szCs w:val="24"/>
        </w:rPr>
        <w:t>”</w:t>
      </w:r>
      <w:r w:rsidR="001C001B">
        <w:rPr>
          <w:rStyle w:val="FootnoteReference"/>
          <w:rFonts w:eastAsia="Times New Roman"/>
          <w:iCs w:val="0"/>
          <w:szCs w:val="24"/>
        </w:rPr>
        <w:footnoteReference w:id="1"/>
      </w:r>
      <w:r w:rsidR="001F7816" w:rsidRPr="001F7816">
        <w:rPr>
          <w:rFonts w:eastAsia="Times New Roman"/>
          <w:iCs w:val="0"/>
          <w:szCs w:val="24"/>
        </w:rPr>
        <w:t xml:space="preserve"> </w:t>
      </w:r>
    </w:p>
    <w:p w14:paraId="3C8C6BEB" w14:textId="77777777" w:rsidR="001F7816" w:rsidRPr="001F7816" w:rsidRDefault="001F7816" w:rsidP="00AB4EC2">
      <w:pPr>
        <w:jc w:val="both"/>
        <w:rPr>
          <w:rFonts w:eastAsia="Times New Roman"/>
          <w:b/>
          <w:iCs w:val="0"/>
          <w:szCs w:val="24"/>
        </w:rPr>
      </w:pPr>
    </w:p>
    <w:p w14:paraId="7214E891" w14:textId="77777777" w:rsidR="001F7816" w:rsidRPr="001F7816" w:rsidRDefault="001F7816" w:rsidP="00AB4EC2">
      <w:pPr>
        <w:pStyle w:val="ListParagraph"/>
        <w:numPr>
          <w:ilvl w:val="0"/>
          <w:numId w:val="2"/>
        </w:numPr>
        <w:jc w:val="both"/>
        <w:rPr>
          <w:rFonts w:eastAsia="Times New Roman"/>
          <w:b/>
          <w:iCs w:val="0"/>
          <w:szCs w:val="24"/>
        </w:rPr>
      </w:pPr>
      <w:r w:rsidRPr="001F7816">
        <w:rPr>
          <w:rFonts w:eastAsia="Times New Roman"/>
          <w:b/>
          <w:iCs w:val="0"/>
          <w:szCs w:val="24"/>
          <w:u w:val="single"/>
        </w:rPr>
        <w:t>ESSENTIAL CONSUMER PROTECTIONS ARE WEAKENED BY THIS BILL</w:t>
      </w:r>
    </w:p>
    <w:p w14:paraId="272AE67B" w14:textId="77777777" w:rsidR="001F7816" w:rsidRPr="001F7816" w:rsidRDefault="001F7816" w:rsidP="00AB4EC2">
      <w:pPr>
        <w:jc w:val="both"/>
        <w:rPr>
          <w:rFonts w:eastAsia="Times New Roman"/>
          <w:b/>
          <w:iCs w:val="0"/>
          <w:szCs w:val="24"/>
        </w:rPr>
      </w:pPr>
    </w:p>
    <w:p w14:paraId="33D8D46D" w14:textId="77777777" w:rsidR="001F7816" w:rsidRPr="001F7816" w:rsidRDefault="001F7816" w:rsidP="00AB4EC2">
      <w:pPr>
        <w:jc w:val="both"/>
        <w:rPr>
          <w:rFonts w:eastAsia="Times New Roman"/>
          <w:iCs w:val="0"/>
          <w:szCs w:val="24"/>
        </w:rPr>
      </w:pPr>
      <w:r w:rsidRPr="001F7816">
        <w:rPr>
          <w:rFonts w:eastAsia="Times New Roman"/>
          <w:iCs w:val="0"/>
          <w:szCs w:val="24"/>
        </w:rPr>
        <w:t>This bill would eviscerate current laws designed to protect consumers from unfair collaboration between health care providers.  For example:</w:t>
      </w:r>
    </w:p>
    <w:p w14:paraId="205A27FA" w14:textId="77777777" w:rsidR="001F7816" w:rsidRPr="001F7816" w:rsidRDefault="001F7816" w:rsidP="00AB4EC2">
      <w:pPr>
        <w:jc w:val="both"/>
        <w:rPr>
          <w:rFonts w:eastAsia="Times New Roman"/>
          <w:iCs w:val="0"/>
          <w:szCs w:val="24"/>
        </w:rPr>
      </w:pPr>
    </w:p>
    <w:p w14:paraId="3DBC5526" w14:textId="72ECECE7" w:rsidR="001F7816" w:rsidRPr="00B831B9" w:rsidRDefault="001F7816" w:rsidP="00AB4EC2">
      <w:pPr>
        <w:pStyle w:val="ListParagraph"/>
        <w:numPr>
          <w:ilvl w:val="0"/>
          <w:numId w:val="3"/>
        </w:numPr>
        <w:jc w:val="both"/>
        <w:rPr>
          <w:rFonts w:eastAsia="Times New Roman"/>
          <w:iCs w:val="0"/>
          <w:szCs w:val="24"/>
        </w:rPr>
      </w:pPr>
      <w:r w:rsidRPr="00B831B9">
        <w:rPr>
          <w:rFonts w:eastAsia="Times New Roman"/>
          <w:b/>
          <w:i/>
          <w:iCs w:val="0"/>
          <w:szCs w:val="24"/>
        </w:rPr>
        <w:t>No quality control</w:t>
      </w:r>
      <w:r w:rsidRPr="00B831B9">
        <w:rPr>
          <w:rFonts w:eastAsia="Times New Roman"/>
          <w:b/>
          <w:iCs w:val="0"/>
          <w:szCs w:val="24"/>
        </w:rPr>
        <w:t>.</w:t>
      </w:r>
      <w:r w:rsidRPr="00B831B9">
        <w:rPr>
          <w:rFonts w:eastAsia="Times New Roman"/>
          <w:iCs w:val="0"/>
          <w:szCs w:val="24"/>
        </w:rPr>
        <w:t xml:space="preserve">  Under existing antitrust law, </w:t>
      </w:r>
      <w:r w:rsidR="005C42E8" w:rsidRPr="005C42E8">
        <w:rPr>
          <w:rFonts w:eastAsia="Times New Roman"/>
          <w:iCs w:val="0"/>
          <w:szCs w:val="24"/>
        </w:rPr>
        <w:t>health care providers</w:t>
      </w:r>
      <w:r w:rsidRPr="00B831B9">
        <w:rPr>
          <w:rFonts w:eastAsia="Times New Roman"/>
          <w:iCs w:val="0"/>
          <w:szCs w:val="24"/>
        </w:rPr>
        <w:t xml:space="preserve"> may bargain collectively if there is sufficient “clinical integration” – which can take the form of uniform quality improvement controls or a single quality assurance program.  This bill includes no </w:t>
      </w:r>
      <w:r w:rsidRPr="00B831B9">
        <w:rPr>
          <w:rFonts w:eastAsia="Times New Roman"/>
          <w:iCs w:val="0"/>
          <w:szCs w:val="24"/>
        </w:rPr>
        <w:lastRenderedPageBreak/>
        <w:t xml:space="preserve">such restriction, permitting </w:t>
      </w:r>
      <w:r w:rsidR="005C42E8" w:rsidRPr="005C42E8">
        <w:rPr>
          <w:rFonts w:eastAsia="Times New Roman"/>
          <w:iCs w:val="0"/>
          <w:szCs w:val="24"/>
        </w:rPr>
        <w:t>health care providers</w:t>
      </w:r>
      <w:r w:rsidRPr="00B831B9">
        <w:rPr>
          <w:rFonts w:eastAsia="Times New Roman"/>
          <w:iCs w:val="0"/>
          <w:szCs w:val="24"/>
        </w:rPr>
        <w:t xml:space="preserve"> to collaborate for one purpose:</w:t>
      </w:r>
      <w:r w:rsidR="001C001B">
        <w:rPr>
          <w:rFonts w:eastAsia="Times New Roman"/>
          <w:iCs w:val="0"/>
          <w:szCs w:val="24"/>
        </w:rPr>
        <w:t xml:space="preserve"> </w:t>
      </w:r>
      <w:r w:rsidRPr="00B831B9">
        <w:rPr>
          <w:rFonts w:eastAsia="Times New Roman"/>
          <w:iCs w:val="0"/>
          <w:szCs w:val="24"/>
        </w:rPr>
        <w:t xml:space="preserve"> to increase their revenue.</w:t>
      </w:r>
    </w:p>
    <w:p w14:paraId="7D1B5689" w14:textId="77777777" w:rsidR="001F7816" w:rsidRPr="001F7816" w:rsidRDefault="001F7816" w:rsidP="00AB4EC2">
      <w:pPr>
        <w:jc w:val="both"/>
        <w:rPr>
          <w:rFonts w:eastAsia="Times New Roman"/>
          <w:iCs w:val="0"/>
          <w:szCs w:val="24"/>
        </w:rPr>
      </w:pPr>
    </w:p>
    <w:p w14:paraId="1CD3CDC4" w14:textId="45867ADB" w:rsidR="001F7816" w:rsidRPr="00B831B9" w:rsidRDefault="001F7816" w:rsidP="00AB4EC2">
      <w:pPr>
        <w:pStyle w:val="ListParagraph"/>
        <w:numPr>
          <w:ilvl w:val="0"/>
          <w:numId w:val="3"/>
        </w:numPr>
        <w:jc w:val="both"/>
        <w:rPr>
          <w:rFonts w:eastAsia="Times New Roman"/>
          <w:iCs w:val="0"/>
          <w:szCs w:val="24"/>
        </w:rPr>
      </w:pPr>
      <w:r w:rsidRPr="00B831B9">
        <w:rPr>
          <w:rFonts w:eastAsia="Times New Roman"/>
          <w:b/>
          <w:i/>
          <w:iCs w:val="0"/>
          <w:szCs w:val="24"/>
        </w:rPr>
        <w:t>No controls over price-fixing</w:t>
      </w:r>
      <w:r w:rsidRPr="00B831B9">
        <w:rPr>
          <w:rFonts w:eastAsia="Times New Roman"/>
          <w:b/>
          <w:iCs w:val="0"/>
          <w:szCs w:val="24"/>
        </w:rPr>
        <w:t xml:space="preserve">.  </w:t>
      </w:r>
      <w:r w:rsidRPr="00B831B9">
        <w:rPr>
          <w:rFonts w:eastAsia="Times New Roman"/>
          <w:iCs w:val="0"/>
          <w:szCs w:val="24"/>
        </w:rPr>
        <w:t>This bill would essentially permit health care providers to determine their own levels of reimbursement, and a health plan</w:t>
      </w:r>
      <w:r w:rsidR="001C001B">
        <w:rPr>
          <w:rFonts w:eastAsia="Times New Roman"/>
          <w:iCs w:val="0"/>
          <w:szCs w:val="24"/>
        </w:rPr>
        <w:t>,</w:t>
      </w:r>
      <w:r w:rsidRPr="00B831B9">
        <w:rPr>
          <w:rFonts w:eastAsia="Times New Roman"/>
          <w:iCs w:val="0"/>
          <w:szCs w:val="24"/>
        </w:rPr>
        <w:t xml:space="preserve"> faced with a multi-discipline negotiating coalition</w:t>
      </w:r>
      <w:r w:rsidR="001C001B">
        <w:rPr>
          <w:rFonts w:eastAsia="Times New Roman"/>
          <w:iCs w:val="0"/>
          <w:szCs w:val="24"/>
        </w:rPr>
        <w:t>,</w:t>
      </w:r>
      <w:r w:rsidRPr="00B831B9">
        <w:rPr>
          <w:rFonts w:eastAsia="Times New Roman"/>
          <w:iCs w:val="0"/>
          <w:szCs w:val="24"/>
        </w:rPr>
        <w:t xml:space="preserve"> would have little choice but to accept its terms.  The bill provides no protection against exorbitant price-setting by providers. </w:t>
      </w:r>
    </w:p>
    <w:p w14:paraId="0489A5C2" w14:textId="77777777" w:rsidR="001F7816" w:rsidRPr="001F7816" w:rsidRDefault="001F7816" w:rsidP="00AB4EC2">
      <w:pPr>
        <w:jc w:val="both"/>
        <w:rPr>
          <w:rFonts w:eastAsia="Times New Roman"/>
          <w:iCs w:val="0"/>
          <w:szCs w:val="24"/>
        </w:rPr>
      </w:pPr>
    </w:p>
    <w:p w14:paraId="2FA8B6E1" w14:textId="77777777" w:rsidR="001F7816" w:rsidRPr="00B831B9" w:rsidRDefault="001F7816" w:rsidP="00AB4EC2">
      <w:pPr>
        <w:pStyle w:val="ListParagraph"/>
        <w:numPr>
          <w:ilvl w:val="0"/>
          <w:numId w:val="3"/>
        </w:numPr>
        <w:jc w:val="both"/>
        <w:rPr>
          <w:rFonts w:eastAsia="Times New Roman"/>
          <w:iCs w:val="0"/>
          <w:szCs w:val="24"/>
        </w:rPr>
      </w:pPr>
      <w:r w:rsidRPr="00B831B9">
        <w:rPr>
          <w:rFonts w:eastAsia="Times New Roman"/>
          <w:b/>
          <w:i/>
          <w:iCs w:val="0"/>
          <w:szCs w:val="24"/>
        </w:rPr>
        <w:t xml:space="preserve">No protection against anti-competitive “spillover.”  </w:t>
      </w:r>
      <w:r w:rsidRPr="00B831B9">
        <w:rPr>
          <w:rFonts w:eastAsia="Times New Roman"/>
          <w:iCs w:val="0"/>
          <w:szCs w:val="24"/>
        </w:rPr>
        <w:t xml:space="preserve">Existing law prohibits communication between competitors regarding prices.  This bill would alter such protections, permitting </w:t>
      </w:r>
      <w:r w:rsidRPr="00B831B9">
        <w:rPr>
          <w:rFonts w:eastAsia="Times New Roman"/>
          <w:iCs w:val="0"/>
          <w:szCs w:val="24"/>
          <w:u w:val="single"/>
        </w:rPr>
        <w:t>competing</w:t>
      </w:r>
      <w:r w:rsidRPr="00B831B9">
        <w:rPr>
          <w:rFonts w:eastAsia="Times New Roman"/>
          <w:iCs w:val="0"/>
          <w:szCs w:val="24"/>
        </w:rPr>
        <w:t xml:space="preserve"> providers to communicate with each other regarding reimbursement.  Even if an agreement between providers is disapproved, there is no way to “undo” the anti-competitive impact of these communications.</w:t>
      </w:r>
    </w:p>
    <w:p w14:paraId="767CA070" w14:textId="77777777" w:rsidR="001F7816" w:rsidRPr="001F7816" w:rsidRDefault="001F7816" w:rsidP="00AB4EC2">
      <w:pPr>
        <w:jc w:val="both"/>
        <w:rPr>
          <w:rFonts w:eastAsia="Times New Roman"/>
          <w:iCs w:val="0"/>
          <w:szCs w:val="24"/>
        </w:rPr>
      </w:pPr>
    </w:p>
    <w:p w14:paraId="2623EC90" w14:textId="77777777" w:rsidR="001F7816" w:rsidRPr="001F7816" w:rsidRDefault="001F7816" w:rsidP="00AB4EC2">
      <w:pPr>
        <w:pStyle w:val="ListParagraph"/>
        <w:numPr>
          <w:ilvl w:val="0"/>
          <w:numId w:val="2"/>
        </w:numPr>
        <w:jc w:val="both"/>
        <w:rPr>
          <w:rFonts w:eastAsia="Times New Roman"/>
          <w:b/>
          <w:iCs w:val="0"/>
          <w:szCs w:val="24"/>
          <w:u w:val="single"/>
        </w:rPr>
      </w:pPr>
      <w:r w:rsidRPr="001F7816">
        <w:rPr>
          <w:rFonts w:eastAsia="Times New Roman"/>
          <w:b/>
          <w:iCs w:val="0"/>
          <w:szCs w:val="24"/>
          <w:u w:val="single"/>
        </w:rPr>
        <w:t>THE FTC EXPLICITLY STATES THAT THIS LEGISLATION WILL HARM CONSUMERS AND INCREASE HEALTH CARE COSTS</w:t>
      </w:r>
    </w:p>
    <w:p w14:paraId="4B371E2A" w14:textId="77777777" w:rsidR="001F7816" w:rsidRPr="001F7816" w:rsidRDefault="001F7816" w:rsidP="00AB4EC2">
      <w:pPr>
        <w:jc w:val="both"/>
        <w:rPr>
          <w:rFonts w:eastAsia="Times New Roman"/>
          <w:b/>
          <w:iCs w:val="0"/>
          <w:szCs w:val="24"/>
          <w:u w:val="single"/>
        </w:rPr>
      </w:pPr>
    </w:p>
    <w:p w14:paraId="1C8D0089" w14:textId="26558F24" w:rsidR="001F7816" w:rsidRPr="001F7816" w:rsidRDefault="001F7816" w:rsidP="00AB4EC2">
      <w:pPr>
        <w:jc w:val="both"/>
        <w:rPr>
          <w:rFonts w:eastAsia="Times New Roman"/>
          <w:b/>
          <w:iCs w:val="0"/>
          <w:szCs w:val="24"/>
          <w:u w:val="single"/>
        </w:rPr>
      </w:pPr>
      <w:r w:rsidRPr="001F7816">
        <w:rPr>
          <w:rFonts w:eastAsia="Times New Roman"/>
          <w:iCs w:val="0"/>
          <w:szCs w:val="24"/>
        </w:rPr>
        <w:t>In an October 2011 letter to Senator John Bonacic regarding this specific bill</w:t>
      </w:r>
      <w:r w:rsidR="00217AF7">
        <w:rPr>
          <w:rFonts w:eastAsia="Times New Roman"/>
          <w:iCs w:val="0"/>
          <w:szCs w:val="24"/>
        </w:rPr>
        <w:t xml:space="preserve"> (“the Letter”)</w:t>
      </w:r>
      <w:r w:rsidRPr="001F7816">
        <w:rPr>
          <w:rFonts w:eastAsia="Times New Roman"/>
          <w:iCs w:val="0"/>
          <w:szCs w:val="24"/>
        </w:rPr>
        <w:t xml:space="preserve">, the Federal Trade Commission (“FTC”) concluded that this legislation would be harmful to consumers, would increase costs, and could potentially violate federal antitrust laws.  The FTC finds </w:t>
      </w:r>
      <w:r w:rsidRPr="001F7816">
        <w:rPr>
          <w:rFonts w:eastAsia="Times New Roman"/>
          <w:iCs w:val="0"/>
          <w:szCs w:val="24"/>
          <w:u w:val="single"/>
        </w:rPr>
        <w:t>no</w:t>
      </w:r>
      <w:r w:rsidRPr="001F7816">
        <w:rPr>
          <w:rFonts w:eastAsia="Times New Roman"/>
          <w:iCs w:val="0"/>
          <w:szCs w:val="24"/>
        </w:rPr>
        <w:t xml:space="preserve"> countervailing benefits that would offset these negative consequences.</w:t>
      </w:r>
      <w:r w:rsidR="00EC7E9A">
        <w:rPr>
          <w:rStyle w:val="FootnoteReference"/>
          <w:rFonts w:eastAsia="Times New Roman"/>
          <w:iCs w:val="0"/>
          <w:szCs w:val="24"/>
        </w:rPr>
        <w:footnoteReference w:id="2"/>
      </w:r>
      <w:r w:rsidRPr="001F7816">
        <w:rPr>
          <w:rFonts w:eastAsia="Times New Roman"/>
          <w:iCs w:val="0"/>
          <w:szCs w:val="24"/>
        </w:rPr>
        <w:t xml:space="preserve">  The letter highlights the critical importance of competition among providers in keeping health care costs down, and explains that this bill will thwart that objective.  The FTC urged a rejection of this dangerous legislation, as it will “allow coordinated activity among competitors beyond what the antitrust laws permit, and therefore poses a substantial risk of consumer harm by increasing costs, impeding innovation, and decreasing access to health care.”  </w:t>
      </w:r>
    </w:p>
    <w:p w14:paraId="685A41FD" w14:textId="77777777" w:rsidR="001F7816" w:rsidRPr="001F7816" w:rsidRDefault="001F7816" w:rsidP="00AB4EC2">
      <w:pPr>
        <w:jc w:val="both"/>
        <w:rPr>
          <w:rFonts w:eastAsia="Times New Roman"/>
          <w:b/>
          <w:iCs w:val="0"/>
          <w:szCs w:val="24"/>
          <w:u w:val="single"/>
        </w:rPr>
      </w:pPr>
    </w:p>
    <w:p w14:paraId="4FFACE14" w14:textId="4924976B" w:rsidR="001F7816" w:rsidRDefault="001F7816" w:rsidP="00AB4EC2">
      <w:pPr>
        <w:jc w:val="both"/>
        <w:rPr>
          <w:rFonts w:eastAsia="Times New Roman"/>
          <w:iCs w:val="0"/>
          <w:szCs w:val="24"/>
        </w:rPr>
      </w:pPr>
      <w:r w:rsidRPr="001F7816">
        <w:rPr>
          <w:rFonts w:eastAsia="Times New Roman"/>
          <w:iCs w:val="0"/>
          <w:szCs w:val="24"/>
        </w:rPr>
        <w:t xml:space="preserve">The </w:t>
      </w:r>
      <w:r w:rsidR="00217AF7">
        <w:rPr>
          <w:rFonts w:eastAsia="Times New Roman"/>
          <w:iCs w:val="0"/>
          <w:szCs w:val="24"/>
        </w:rPr>
        <w:t>Letter</w:t>
      </w:r>
      <w:r w:rsidRPr="001F7816">
        <w:rPr>
          <w:rFonts w:eastAsia="Times New Roman"/>
          <w:iCs w:val="0"/>
          <w:szCs w:val="24"/>
        </w:rPr>
        <w:t xml:space="preserve"> states that this legislation will “decrease the incentives of health care providers to compete on price and </w:t>
      </w:r>
      <w:proofErr w:type="gramStart"/>
      <w:r w:rsidRPr="001F7816">
        <w:rPr>
          <w:rFonts w:eastAsia="Times New Roman"/>
          <w:iCs w:val="0"/>
          <w:szCs w:val="24"/>
        </w:rPr>
        <w:t>quality, and</w:t>
      </w:r>
      <w:proofErr w:type="gramEnd"/>
      <w:r w:rsidRPr="001F7816">
        <w:rPr>
          <w:rFonts w:eastAsia="Times New Roman"/>
          <w:iCs w:val="0"/>
          <w:szCs w:val="24"/>
        </w:rPr>
        <w:t xml:space="preserve"> would make it more difficult for health plans to resist provider pressure for higher fees.”  It also notes that the bill will allow anticompetitive conduct to escape antitrust scrutiny and “</w:t>
      </w:r>
      <w:r w:rsidRPr="001F7816">
        <w:rPr>
          <w:rFonts w:eastAsia="Times New Roman"/>
          <w:iCs w:val="0"/>
          <w:szCs w:val="24"/>
          <w:u w:val="single"/>
        </w:rPr>
        <w:t>it would be difficult to undo the consumer harm that is likely to occur</w:t>
      </w:r>
      <w:r w:rsidRPr="001F7816">
        <w:rPr>
          <w:rFonts w:eastAsia="Times New Roman"/>
          <w:iCs w:val="0"/>
          <w:szCs w:val="24"/>
        </w:rPr>
        <w:t xml:space="preserve"> once competitors have shared sensitive fee-and non-fee-related information in anticipation of collective negotiations.”</w:t>
      </w:r>
      <w:r w:rsidR="00EC7E9A">
        <w:rPr>
          <w:rStyle w:val="FootnoteReference"/>
          <w:rFonts w:eastAsia="Times New Roman"/>
          <w:iCs w:val="0"/>
          <w:szCs w:val="24"/>
        </w:rPr>
        <w:footnoteReference w:id="3"/>
      </w:r>
      <w:r w:rsidRPr="001F7816">
        <w:rPr>
          <w:rFonts w:eastAsia="Times New Roman"/>
          <w:iCs w:val="0"/>
          <w:szCs w:val="24"/>
        </w:rPr>
        <w:t xml:space="preserve">  The </w:t>
      </w:r>
      <w:r w:rsidR="00217AF7">
        <w:rPr>
          <w:rFonts w:eastAsia="Times New Roman"/>
          <w:iCs w:val="0"/>
          <w:szCs w:val="24"/>
        </w:rPr>
        <w:t>Letter</w:t>
      </w:r>
      <w:r w:rsidRPr="001F7816">
        <w:rPr>
          <w:rFonts w:eastAsia="Times New Roman"/>
          <w:iCs w:val="0"/>
          <w:szCs w:val="24"/>
        </w:rPr>
        <w:t xml:space="preserve"> found “no credible economic theory . . . and no evidence demonstrating that collective negotiations among providers will do anything other than raise prices for consumers.”</w:t>
      </w:r>
      <w:r w:rsidR="00EC7E9A">
        <w:rPr>
          <w:rStyle w:val="FootnoteReference"/>
          <w:rFonts w:eastAsia="Times New Roman"/>
          <w:iCs w:val="0"/>
          <w:szCs w:val="24"/>
        </w:rPr>
        <w:footnoteReference w:id="4"/>
      </w:r>
      <w:r w:rsidRPr="001F7816">
        <w:rPr>
          <w:rFonts w:eastAsia="Times New Roman"/>
          <w:iCs w:val="0"/>
          <w:szCs w:val="24"/>
        </w:rPr>
        <w:t xml:space="preserve">  Finally, the </w:t>
      </w:r>
      <w:r w:rsidR="00217AF7">
        <w:rPr>
          <w:rFonts w:eastAsia="Times New Roman"/>
          <w:iCs w:val="0"/>
          <w:szCs w:val="24"/>
        </w:rPr>
        <w:t>FTC</w:t>
      </w:r>
      <w:r w:rsidRPr="001F7816">
        <w:rPr>
          <w:rFonts w:eastAsia="Times New Roman"/>
          <w:iCs w:val="0"/>
          <w:szCs w:val="24"/>
        </w:rPr>
        <w:t xml:space="preserve"> expresse</w:t>
      </w:r>
      <w:r w:rsidR="00217AF7">
        <w:rPr>
          <w:rFonts w:eastAsia="Times New Roman"/>
          <w:iCs w:val="0"/>
          <w:szCs w:val="24"/>
        </w:rPr>
        <w:t>d</w:t>
      </w:r>
      <w:r w:rsidRPr="001F7816">
        <w:rPr>
          <w:rFonts w:eastAsia="Times New Roman"/>
          <w:iCs w:val="0"/>
          <w:szCs w:val="24"/>
        </w:rPr>
        <w:t xml:space="preserve"> its concern that the bill will encourage “anticompetitive conduct that is inconsistent with federal antitrust law and policy,” conduct that is very likely to harm New York’s health care consumers.</w:t>
      </w:r>
      <w:r w:rsidR="00EC7E9A">
        <w:rPr>
          <w:rStyle w:val="FootnoteReference"/>
          <w:rFonts w:eastAsia="Times New Roman"/>
          <w:iCs w:val="0"/>
          <w:szCs w:val="24"/>
        </w:rPr>
        <w:footnoteReference w:id="5"/>
      </w:r>
      <w:r w:rsidRPr="001F7816">
        <w:rPr>
          <w:rFonts w:eastAsia="Times New Roman"/>
          <w:iCs w:val="0"/>
          <w:szCs w:val="24"/>
        </w:rPr>
        <w:t xml:space="preserve">  </w:t>
      </w:r>
    </w:p>
    <w:p w14:paraId="7F491FA6" w14:textId="77777777" w:rsidR="00217AF7" w:rsidRDefault="00217AF7" w:rsidP="00AB4EC2">
      <w:pPr>
        <w:jc w:val="both"/>
        <w:rPr>
          <w:rFonts w:eastAsia="Times New Roman"/>
          <w:iCs w:val="0"/>
          <w:szCs w:val="24"/>
        </w:rPr>
      </w:pPr>
    </w:p>
    <w:p w14:paraId="094D084B" w14:textId="77777777" w:rsidR="00217AF7" w:rsidRPr="001F7816" w:rsidRDefault="00217AF7" w:rsidP="00AB4EC2">
      <w:pPr>
        <w:jc w:val="both"/>
        <w:rPr>
          <w:rFonts w:eastAsia="Times New Roman"/>
          <w:iCs w:val="0"/>
          <w:szCs w:val="24"/>
        </w:rPr>
      </w:pPr>
      <w:r w:rsidRPr="001F7816">
        <w:rPr>
          <w:rFonts w:eastAsia="Times New Roman"/>
          <w:iCs w:val="0"/>
          <w:szCs w:val="24"/>
        </w:rPr>
        <w:t>The bill is also completely contrary to a report by the Department of Justice (“DOJ”) and FTC which flatly states that “[g]</w:t>
      </w:r>
      <w:proofErr w:type="spellStart"/>
      <w:r w:rsidRPr="001F7816">
        <w:rPr>
          <w:rFonts w:eastAsia="Times New Roman"/>
          <w:iCs w:val="0"/>
          <w:szCs w:val="24"/>
        </w:rPr>
        <w:t>overnments</w:t>
      </w:r>
      <w:proofErr w:type="spellEnd"/>
      <w:r w:rsidRPr="001F7816">
        <w:rPr>
          <w:rFonts w:eastAsia="Times New Roman"/>
          <w:iCs w:val="0"/>
          <w:szCs w:val="24"/>
        </w:rPr>
        <w:t xml:space="preserve"> should not enact legislation to permit independent physicians to bargain collectively.”  The Report predicts that “physician collective bargaining will </w:t>
      </w:r>
      <w:r w:rsidRPr="001F7816">
        <w:rPr>
          <w:rFonts w:eastAsia="Times New Roman"/>
          <w:iCs w:val="0"/>
          <w:szCs w:val="24"/>
        </w:rPr>
        <w:lastRenderedPageBreak/>
        <w:t>harm consumers financially and is unlikely to result in quality improvements.”</w:t>
      </w:r>
      <w:r>
        <w:rPr>
          <w:rStyle w:val="FootnoteReference"/>
          <w:rFonts w:eastAsia="Times New Roman"/>
          <w:iCs w:val="0"/>
          <w:szCs w:val="24"/>
        </w:rPr>
        <w:footnoteReference w:id="6"/>
      </w:r>
      <w:r w:rsidRPr="001F7816">
        <w:rPr>
          <w:rFonts w:eastAsia="Times New Roman"/>
          <w:iCs w:val="0"/>
          <w:szCs w:val="24"/>
        </w:rPr>
        <w:t xml:space="preserve">  The proposed legislation ignores this report’s recommendations.</w:t>
      </w:r>
    </w:p>
    <w:p w14:paraId="63C0BD57" w14:textId="77777777" w:rsidR="001F7816" w:rsidRDefault="001F7816" w:rsidP="00AB4EC2">
      <w:pPr>
        <w:jc w:val="both"/>
        <w:rPr>
          <w:rFonts w:eastAsia="Times New Roman"/>
          <w:iCs w:val="0"/>
          <w:szCs w:val="24"/>
        </w:rPr>
      </w:pPr>
    </w:p>
    <w:p w14:paraId="5BA245BA" w14:textId="77777777" w:rsidR="001F7816" w:rsidRPr="001F7816" w:rsidRDefault="001F7816" w:rsidP="00AB4EC2">
      <w:pPr>
        <w:pStyle w:val="ListParagraph"/>
        <w:numPr>
          <w:ilvl w:val="0"/>
          <w:numId w:val="2"/>
        </w:numPr>
        <w:jc w:val="both"/>
        <w:rPr>
          <w:rFonts w:eastAsia="Times New Roman"/>
          <w:b/>
          <w:iCs w:val="0"/>
          <w:szCs w:val="24"/>
          <w:u w:val="single"/>
        </w:rPr>
      </w:pPr>
      <w:r w:rsidRPr="001F7816">
        <w:rPr>
          <w:rFonts w:eastAsia="Times New Roman"/>
          <w:b/>
          <w:iCs w:val="0"/>
          <w:szCs w:val="24"/>
          <w:u w:val="single"/>
        </w:rPr>
        <w:t xml:space="preserve">THIS BILL WILL DRAMATICALLY INCREASE THE COST OF HEALTH INSURANCE COVERAGE </w:t>
      </w:r>
    </w:p>
    <w:p w14:paraId="7B59D8CB" w14:textId="77777777" w:rsidR="001F7816" w:rsidRPr="001F7816" w:rsidRDefault="001F7816" w:rsidP="00AB4EC2">
      <w:pPr>
        <w:jc w:val="both"/>
        <w:rPr>
          <w:rFonts w:eastAsia="Times New Roman"/>
          <w:b/>
          <w:iCs w:val="0"/>
          <w:szCs w:val="24"/>
        </w:rPr>
      </w:pPr>
    </w:p>
    <w:p w14:paraId="40DED6FC" w14:textId="61499009" w:rsidR="001F7816" w:rsidRPr="001F7816" w:rsidRDefault="001F7816" w:rsidP="00AB4EC2">
      <w:pPr>
        <w:jc w:val="both"/>
        <w:rPr>
          <w:rFonts w:eastAsia="Times New Roman"/>
          <w:iCs w:val="0"/>
          <w:szCs w:val="24"/>
        </w:rPr>
      </w:pPr>
      <w:r w:rsidRPr="001F7816">
        <w:rPr>
          <w:rFonts w:eastAsia="Times New Roman"/>
          <w:iCs w:val="0"/>
          <w:szCs w:val="24"/>
        </w:rPr>
        <w:t xml:space="preserve">A Health Insurers Association of America study analyzed similar federal legislation and determined that it would cause a 6 to 11% hike in premium rates.  These costs would be borne health care consumers. Allowing collective bargaining will lead to sharp premium increases, forcing employers to increase employee contributions or to drop employee coverage altogether. Employees would have to choose between paying substantially increased premiums or joining the </w:t>
      </w:r>
      <w:r w:rsidR="00AB4EC2">
        <w:rPr>
          <w:rFonts w:eastAsia="Times New Roman"/>
          <w:iCs w:val="0"/>
          <w:szCs w:val="24"/>
        </w:rPr>
        <w:t xml:space="preserve">ranks of the almost one </w:t>
      </w:r>
      <w:r w:rsidRPr="001F7816">
        <w:rPr>
          <w:rFonts w:eastAsia="Times New Roman"/>
          <w:iCs w:val="0"/>
          <w:szCs w:val="24"/>
        </w:rPr>
        <w:t>million uninsured New Yorkers</w:t>
      </w:r>
      <w:r w:rsidR="00EC7E9A">
        <w:rPr>
          <w:rFonts w:eastAsia="Times New Roman"/>
          <w:iCs w:val="0"/>
          <w:szCs w:val="24"/>
        </w:rPr>
        <w:t>.</w:t>
      </w:r>
      <w:r w:rsidRPr="001F7816">
        <w:rPr>
          <w:rFonts w:eastAsia="Times New Roman"/>
          <w:iCs w:val="0"/>
          <w:szCs w:val="24"/>
        </w:rPr>
        <w:t xml:space="preserve"> </w:t>
      </w:r>
    </w:p>
    <w:p w14:paraId="3FEA6979" w14:textId="77777777" w:rsidR="001F7816" w:rsidRPr="00AB4EC2" w:rsidRDefault="001F7816" w:rsidP="00AB4EC2">
      <w:pPr>
        <w:jc w:val="both"/>
        <w:rPr>
          <w:rFonts w:eastAsia="Times New Roman"/>
          <w:b/>
          <w:i/>
          <w:szCs w:val="24"/>
          <w:u w:val="single"/>
        </w:rPr>
      </w:pPr>
    </w:p>
    <w:p w14:paraId="1EDD1E53" w14:textId="35516277" w:rsidR="001F7816" w:rsidRPr="001F7816" w:rsidRDefault="001F7816" w:rsidP="00AB4EC2">
      <w:pPr>
        <w:pStyle w:val="ListParagraph"/>
        <w:numPr>
          <w:ilvl w:val="0"/>
          <w:numId w:val="2"/>
        </w:numPr>
        <w:jc w:val="both"/>
        <w:rPr>
          <w:rFonts w:eastAsia="Times New Roman"/>
          <w:b/>
          <w:iCs w:val="0"/>
          <w:szCs w:val="24"/>
          <w:u w:val="single"/>
        </w:rPr>
      </w:pPr>
      <w:r w:rsidRPr="001F7816">
        <w:rPr>
          <w:rFonts w:eastAsia="Times New Roman"/>
          <w:b/>
          <w:iCs w:val="0"/>
          <w:szCs w:val="24"/>
          <w:u w:val="single"/>
        </w:rPr>
        <w:t>PREVIOUS NEW YORK ATTORNEY</w:t>
      </w:r>
      <w:r w:rsidR="00D72D6D">
        <w:rPr>
          <w:rFonts w:eastAsia="Times New Roman"/>
          <w:b/>
          <w:iCs w:val="0"/>
          <w:szCs w:val="24"/>
          <w:u w:val="single"/>
        </w:rPr>
        <w:t>S</w:t>
      </w:r>
      <w:r w:rsidRPr="001F7816">
        <w:rPr>
          <w:rFonts w:eastAsia="Times New Roman"/>
          <w:b/>
          <w:iCs w:val="0"/>
          <w:szCs w:val="24"/>
          <w:u w:val="single"/>
        </w:rPr>
        <w:t xml:space="preserve"> GENERAL FOUND THAT THIS VIOLATED FEDERAL ANTITRUST LAWS.</w:t>
      </w:r>
    </w:p>
    <w:p w14:paraId="23E1280D" w14:textId="77777777" w:rsidR="001F7816" w:rsidRPr="001F7816" w:rsidRDefault="001F7816" w:rsidP="00AB4EC2">
      <w:pPr>
        <w:jc w:val="both"/>
        <w:rPr>
          <w:rFonts w:eastAsia="Times New Roman"/>
          <w:iCs w:val="0"/>
          <w:szCs w:val="24"/>
        </w:rPr>
      </w:pPr>
    </w:p>
    <w:p w14:paraId="0FCA42A8" w14:textId="13E01340" w:rsidR="001F7816" w:rsidRPr="001F7816" w:rsidRDefault="001F7816" w:rsidP="00AB4EC2">
      <w:pPr>
        <w:jc w:val="both"/>
        <w:rPr>
          <w:rFonts w:eastAsia="Times New Roman"/>
          <w:iCs w:val="0"/>
          <w:szCs w:val="24"/>
        </w:rPr>
      </w:pPr>
      <w:r w:rsidRPr="001F7816">
        <w:rPr>
          <w:rFonts w:eastAsia="Times New Roman"/>
          <w:iCs w:val="0"/>
          <w:szCs w:val="24"/>
        </w:rPr>
        <w:t xml:space="preserve">In 2000, New York’s Attorney General also opposed this legislation in a letter dated June 14, 2000.  Its opinion is that this proposed legislation fails </w:t>
      </w:r>
      <w:r w:rsidRPr="001F7816">
        <w:rPr>
          <w:rFonts w:eastAsia="Times New Roman"/>
          <w:b/>
          <w:iCs w:val="0"/>
          <w:szCs w:val="24"/>
        </w:rPr>
        <w:t xml:space="preserve">both </w:t>
      </w:r>
      <w:r w:rsidRPr="001F7816">
        <w:rPr>
          <w:rFonts w:eastAsia="Times New Roman"/>
          <w:iCs w:val="0"/>
          <w:szCs w:val="24"/>
        </w:rPr>
        <w:t>prongs of the Supreme Court’s State Action doctrine test.</w:t>
      </w:r>
      <w:r w:rsidR="00EC7E9A">
        <w:rPr>
          <w:rStyle w:val="FootnoteReference"/>
          <w:rFonts w:eastAsia="Times New Roman"/>
          <w:iCs w:val="0"/>
          <w:szCs w:val="24"/>
        </w:rPr>
        <w:footnoteReference w:id="7"/>
      </w:r>
      <w:r w:rsidRPr="001F7816">
        <w:rPr>
          <w:rFonts w:eastAsia="Times New Roman"/>
          <w:iCs w:val="0"/>
          <w:szCs w:val="24"/>
        </w:rPr>
        <w:t xml:space="preserve">  The letter concludes that two things are clear: (1) the bill is designed to serve the financial interests of providers; and (2) there are no specific provisions which would afford state officials the power to review </w:t>
      </w:r>
      <w:r w:rsidRPr="001F7816">
        <w:rPr>
          <w:rFonts w:eastAsia="Times New Roman"/>
          <w:b/>
          <w:iCs w:val="0"/>
          <w:szCs w:val="24"/>
        </w:rPr>
        <w:t xml:space="preserve">particular anticompetitive acts </w:t>
      </w:r>
      <w:r w:rsidRPr="001F7816">
        <w:rPr>
          <w:rFonts w:eastAsia="Times New Roman"/>
          <w:iCs w:val="0"/>
          <w:szCs w:val="24"/>
        </w:rPr>
        <w:t>that would rise to the level of “active supervision” as defined by the Supreme Court.</w:t>
      </w:r>
    </w:p>
    <w:p w14:paraId="5D6BE8E4" w14:textId="77777777" w:rsidR="001F7816" w:rsidRPr="001F7816" w:rsidRDefault="001F7816" w:rsidP="00AB4EC2">
      <w:pPr>
        <w:jc w:val="both"/>
        <w:rPr>
          <w:rFonts w:eastAsia="Times New Roman"/>
          <w:iCs w:val="0"/>
          <w:szCs w:val="24"/>
        </w:rPr>
      </w:pPr>
    </w:p>
    <w:p w14:paraId="0FD26612" w14:textId="77777777" w:rsidR="001F7816" w:rsidRPr="001F7816" w:rsidRDefault="001F7816" w:rsidP="00AB4EC2">
      <w:pPr>
        <w:pStyle w:val="ListParagraph"/>
        <w:numPr>
          <w:ilvl w:val="0"/>
          <w:numId w:val="2"/>
        </w:numPr>
        <w:jc w:val="both"/>
        <w:rPr>
          <w:rFonts w:eastAsia="Times New Roman"/>
          <w:b/>
          <w:iCs w:val="0"/>
          <w:szCs w:val="24"/>
        </w:rPr>
      </w:pPr>
      <w:r w:rsidRPr="001F7816">
        <w:rPr>
          <w:rFonts w:eastAsia="Times New Roman"/>
          <w:b/>
          <w:iCs w:val="0"/>
          <w:szCs w:val="24"/>
          <w:u w:val="single"/>
        </w:rPr>
        <w:t xml:space="preserve">THIS </w:t>
      </w:r>
      <w:smartTag w:uri="urn:schemas-microsoft-com:office:smarttags" w:element="stockticker">
        <w:r w:rsidRPr="001F7816">
          <w:rPr>
            <w:rFonts w:eastAsia="Times New Roman"/>
            <w:b/>
            <w:iCs w:val="0"/>
            <w:szCs w:val="24"/>
            <w:u w:val="single"/>
          </w:rPr>
          <w:t>BILL</w:t>
        </w:r>
      </w:smartTag>
      <w:r w:rsidRPr="001F7816">
        <w:rPr>
          <w:rFonts w:eastAsia="Times New Roman"/>
          <w:b/>
          <w:iCs w:val="0"/>
          <w:szCs w:val="24"/>
          <w:u w:val="single"/>
        </w:rPr>
        <w:t xml:space="preserve"> IS UNNECESSARY IN LIGHT OF EXISTING </w:t>
      </w:r>
      <w:smartTag w:uri="urn:schemas-microsoft-com:office:smarttags" w:element="stockticker">
        <w:r w:rsidRPr="001F7816">
          <w:rPr>
            <w:rFonts w:eastAsia="Times New Roman"/>
            <w:b/>
            <w:iCs w:val="0"/>
            <w:szCs w:val="24"/>
            <w:u w:val="single"/>
          </w:rPr>
          <w:t>NEW</w:t>
        </w:r>
      </w:smartTag>
      <w:r w:rsidRPr="001F7816">
        <w:rPr>
          <w:rFonts w:eastAsia="Times New Roman"/>
          <w:b/>
          <w:iCs w:val="0"/>
          <w:szCs w:val="24"/>
          <w:u w:val="single"/>
        </w:rPr>
        <w:t xml:space="preserve"> </w:t>
      </w:r>
      <w:smartTag w:uri="urn:schemas-microsoft-com:office:smarttags" w:element="stockticker">
        <w:r w:rsidRPr="001F7816">
          <w:rPr>
            <w:rFonts w:eastAsia="Times New Roman"/>
            <w:b/>
            <w:iCs w:val="0"/>
            <w:szCs w:val="24"/>
            <w:u w:val="single"/>
          </w:rPr>
          <w:t>YORK</w:t>
        </w:r>
      </w:smartTag>
      <w:r w:rsidRPr="001F7816">
        <w:rPr>
          <w:rFonts w:eastAsia="Times New Roman"/>
          <w:b/>
          <w:iCs w:val="0"/>
          <w:szCs w:val="24"/>
          <w:u w:val="single"/>
        </w:rPr>
        <w:t xml:space="preserve"> </w:t>
      </w:r>
      <w:smartTag w:uri="urn:schemas-microsoft-com:office:smarttags" w:element="stockticker">
        <w:r w:rsidRPr="001F7816">
          <w:rPr>
            <w:rFonts w:eastAsia="Times New Roman"/>
            <w:b/>
            <w:iCs w:val="0"/>
            <w:szCs w:val="24"/>
            <w:u w:val="single"/>
          </w:rPr>
          <w:t>AND</w:t>
        </w:r>
      </w:smartTag>
      <w:r w:rsidRPr="001F7816">
        <w:rPr>
          <w:rFonts w:eastAsia="Times New Roman"/>
          <w:b/>
          <w:iCs w:val="0"/>
          <w:szCs w:val="24"/>
          <w:u w:val="single"/>
        </w:rPr>
        <w:t xml:space="preserve"> FEDERAL ANTITRUST LAW</w:t>
      </w:r>
      <w:r w:rsidRPr="001F7816">
        <w:rPr>
          <w:rFonts w:eastAsia="Times New Roman"/>
          <w:b/>
          <w:iCs w:val="0"/>
          <w:szCs w:val="24"/>
        </w:rPr>
        <w:t>.</w:t>
      </w:r>
    </w:p>
    <w:p w14:paraId="15A281F4" w14:textId="77777777" w:rsidR="001F7816" w:rsidRPr="001F7816" w:rsidRDefault="001F7816" w:rsidP="00AB4EC2">
      <w:pPr>
        <w:jc w:val="both"/>
        <w:rPr>
          <w:rFonts w:eastAsia="Times New Roman"/>
          <w:b/>
          <w:iCs w:val="0"/>
          <w:szCs w:val="24"/>
        </w:rPr>
      </w:pPr>
    </w:p>
    <w:p w14:paraId="16603713" w14:textId="1A31C48B" w:rsidR="001F7816" w:rsidRPr="001F7816" w:rsidRDefault="001F7816" w:rsidP="00AB4EC2">
      <w:pPr>
        <w:jc w:val="both"/>
        <w:rPr>
          <w:rFonts w:eastAsia="Times New Roman"/>
          <w:iCs w:val="0"/>
          <w:szCs w:val="24"/>
        </w:rPr>
      </w:pPr>
      <w:r w:rsidRPr="001F7816">
        <w:rPr>
          <w:rFonts w:eastAsia="Times New Roman"/>
          <w:iCs w:val="0"/>
          <w:szCs w:val="24"/>
        </w:rPr>
        <w:t>The FTC’s letter on this exact Bill notes that “federal antitrust law already permits many joint activities by health care providers when such activities are procompetitive and likely to benefit consumers. . . . [L]</w:t>
      </w:r>
      <w:proofErr w:type="spellStart"/>
      <w:r w:rsidRPr="001F7816">
        <w:rPr>
          <w:rFonts w:eastAsia="Times New Roman"/>
          <w:iCs w:val="0"/>
          <w:szCs w:val="24"/>
        </w:rPr>
        <w:t>egislation</w:t>
      </w:r>
      <w:proofErr w:type="spellEnd"/>
      <w:r w:rsidRPr="001F7816">
        <w:rPr>
          <w:rFonts w:eastAsia="Times New Roman"/>
          <w:iCs w:val="0"/>
          <w:szCs w:val="24"/>
        </w:rPr>
        <w:t xml:space="preserve"> allowing collective negotiations by providers . . . would result in substantial harm to consumers rather than procompetitive benefits.”</w:t>
      </w:r>
      <w:r w:rsidR="00EC7E9A">
        <w:rPr>
          <w:rStyle w:val="FootnoteReference"/>
          <w:rFonts w:eastAsia="Times New Roman"/>
          <w:iCs w:val="0"/>
          <w:szCs w:val="24"/>
        </w:rPr>
        <w:footnoteReference w:id="8"/>
      </w:r>
      <w:r w:rsidRPr="001F7816">
        <w:rPr>
          <w:rFonts w:eastAsia="Times New Roman"/>
          <w:iCs w:val="0"/>
          <w:szCs w:val="24"/>
        </w:rPr>
        <w:t xml:space="preserve">  </w:t>
      </w:r>
    </w:p>
    <w:p w14:paraId="042D87AF" w14:textId="77777777" w:rsidR="001F7816" w:rsidRPr="001F7816" w:rsidRDefault="001F7816" w:rsidP="00AB4EC2">
      <w:pPr>
        <w:jc w:val="both"/>
        <w:rPr>
          <w:rFonts w:eastAsia="Times New Roman"/>
          <w:iCs w:val="0"/>
          <w:szCs w:val="24"/>
        </w:rPr>
      </w:pPr>
    </w:p>
    <w:p w14:paraId="61BAE564" w14:textId="182BD669" w:rsidR="001F7816" w:rsidRDefault="001F7816" w:rsidP="00AB4EC2">
      <w:pPr>
        <w:jc w:val="both"/>
        <w:rPr>
          <w:rFonts w:eastAsia="Times New Roman"/>
          <w:iCs w:val="0"/>
          <w:szCs w:val="24"/>
        </w:rPr>
      </w:pPr>
      <w:r w:rsidRPr="001F7816">
        <w:rPr>
          <w:rFonts w:eastAsia="Times New Roman"/>
          <w:iCs w:val="0"/>
          <w:szCs w:val="24"/>
        </w:rPr>
        <w:t xml:space="preserve">Significantly, current New York law permits health care providers to organize for many purposes including collective negotiation with insurers, health maintenance organizations, and other payors.  These organizations are commonly known as independent practice associations, or IPAs.  IPAs </w:t>
      </w:r>
      <w:r w:rsidR="00C67857">
        <w:rPr>
          <w:rFonts w:eastAsia="Times New Roman"/>
          <w:iCs w:val="0"/>
          <w:szCs w:val="24"/>
        </w:rPr>
        <w:t>may</w:t>
      </w:r>
      <w:r w:rsidRPr="001F7816">
        <w:rPr>
          <w:rFonts w:eastAsia="Times New Roman"/>
          <w:iCs w:val="0"/>
          <w:szCs w:val="24"/>
        </w:rPr>
        <w:t xml:space="preserve"> negotiate collectively with payors on behalf of all members, and </w:t>
      </w:r>
      <w:r w:rsidR="00C67857">
        <w:rPr>
          <w:rFonts w:eastAsia="Times New Roman"/>
          <w:iCs w:val="0"/>
          <w:szCs w:val="24"/>
        </w:rPr>
        <w:t>may</w:t>
      </w:r>
      <w:r w:rsidRPr="001F7816">
        <w:rPr>
          <w:rFonts w:eastAsia="Times New Roman"/>
          <w:iCs w:val="0"/>
          <w:szCs w:val="24"/>
        </w:rPr>
        <w:t xml:space="preserve"> also negotiate to perform certain administrative functions on behalf of the payor such as claims processing or credentialing.  In cases where IPA models are not permitted (i.e. contractual arrangements with indemnity insurers), a “messenger model” could be used to negotiate essential contract elements, or the </w:t>
      </w:r>
      <w:r w:rsidRPr="001F7816">
        <w:rPr>
          <w:rFonts w:eastAsia="Times New Roman"/>
          <w:iCs w:val="0"/>
          <w:szCs w:val="24"/>
        </w:rPr>
        <w:lastRenderedPageBreak/>
        <w:t>providers could form a joint venture with sufficient clinical and financial integration to justify collaboration on fees.  Existing collective bargaining models afford sufficient avenues for providers and include important consumer protection provisions this bill would remove.</w:t>
      </w:r>
    </w:p>
    <w:p w14:paraId="59FF1C98" w14:textId="77777777" w:rsidR="00C25639" w:rsidRDefault="00C25639" w:rsidP="00AB4EC2">
      <w:pPr>
        <w:jc w:val="both"/>
        <w:rPr>
          <w:rFonts w:eastAsia="Times New Roman"/>
          <w:iCs w:val="0"/>
          <w:szCs w:val="24"/>
        </w:rPr>
      </w:pPr>
    </w:p>
    <w:p w14:paraId="2A1B395E" w14:textId="77777777" w:rsidR="001F7816" w:rsidRPr="001F7816" w:rsidRDefault="001F7816" w:rsidP="00AB4EC2">
      <w:pPr>
        <w:pStyle w:val="ListParagraph"/>
        <w:numPr>
          <w:ilvl w:val="0"/>
          <w:numId w:val="2"/>
        </w:numPr>
        <w:jc w:val="both"/>
        <w:rPr>
          <w:rFonts w:eastAsia="Times New Roman"/>
          <w:b/>
          <w:iCs w:val="0"/>
          <w:szCs w:val="24"/>
          <w:u w:val="single"/>
        </w:rPr>
      </w:pPr>
      <w:r w:rsidRPr="001F7816">
        <w:rPr>
          <w:rFonts w:eastAsia="Times New Roman"/>
          <w:b/>
          <w:iCs w:val="0"/>
          <w:szCs w:val="24"/>
          <w:u w:val="single"/>
        </w:rPr>
        <w:t>SIMILAR</w:t>
      </w:r>
      <w:r w:rsidR="009046DD">
        <w:rPr>
          <w:rFonts w:eastAsia="Times New Roman"/>
          <w:b/>
          <w:iCs w:val="0"/>
          <w:szCs w:val="24"/>
          <w:u w:val="single"/>
        </w:rPr>
        <w:t xml:space="preserve"> LEGISLATION IN OTHER STATES HAS</w:t>
      </w:r>
      <w:r w:rsidRPr="001F7816">
        <w:rPr>
          <w:rFonts w:eastAsia="Times New Roman"/>
          <w:b/>
          <w:iCs w:val="0"/>
          <w:szCs w:val="24"/>
          <w:u w:val="single"/>
        </w:rPr>
        <w:t xml:space="preserve"> PROVEN HARMFUL TO CONSUMERS </w:t>
      </w:r>
    </w:p>
    <w:p w14:paraId="7174916E" w14:textId="77777777" w:rsidR="001F7816" w:rsidRPr="001F7816" w:rsidRDefault="001F7816" w:rsidP="00AB4EC2">
      <w:pPr>
        <w:jc w:val="both"/>
        <w:rPr>
          <w:rFonts w:eastAsia="Times New Roman"/>
          <w:b/>
          <w:iCs w:val="0"/>
          <w:szCs w:val="24"/>
        </w:rPr>
      </w:pPr>
    </w:p>
    <w:p w14:paraId="1FFC1157" w14:textId="64F4D298" w:rsidR="001F7816" w:rsidRPr="001F7816" w:rsidRDefault="001F7816" w:rsidP="00AB4EC2">
      <w:pPr>
        <w:jc w:val="both"/>
        <w:rPr>
          <w:rFonts w:eastAsia="Times New Roman"/>
          <w:iCs w:val="0"/>
          <w:szCs w:val="24"/>
        </w:rPr>
      </w:pPr>
      <w:r w:rsidRPr="001F7816">
        <w:rPr>
          <w:rFonts w:eastAsia="Times New Roman"/>
          <w:iCs w:val="0"/>
          <w:szCs w:val="24"/>
        </w:rPr>
        <w:t>The</w:t>
      </w:r>
      <w:r w:rsidR="002B7E95">
        <w:rPr>
          <w:rFonts w:eastAsia="Times New Roman"/>
          <w:iCs w:val="0"/>
          <w:szCs w:val="24"/>
        </w:rPr>
        <w:t xml:space="preserve"> </w:t>
      </w:r>
      <w:r w:rsidRPr="001F7816">
        <w:rPr>
          <w:rFonts w:eastAsia="Times New Roman"/>
          <w:iCs w:val="0"/>
          <w:szCs w:val="24"/>
        </w:rPr>
        <w:t>FTC has intervened repeatedly in situations where independent contractor physicians practiced collective negotiation tactics similar to those proposed by this legislation in order to curb the dangerous effects they had on the health care community. A recent report by the FTC’s Bureau of Competition details dozens of examples of such activity and identifies significant increases in health care costs as a result.</w:t>
      </w:r>
      <w:r w:rsidR="00EC7E9A">
        <w:rPr>
          <w:rStyle w:val="FootnoteReference"/>
          <w:rFonts w:eastAsia="Times New Roman"/>
          <w:iCs w:val="0"/>
          <w:szCs w:val="24"/>
        </w:rPr>
        <w:footnoteReference w:id="9"/>
      </w:r>
      <w:r w:rsidRPr="001F7816">
        <w:rPr>
          <w:rFonts w:eastAsia="Times New Roman"/>
          <w:iCs w:val="0"/>
          <w:szCs w:val="24"/>
        </w:rPr>
        <w:t xml:space="preserve">  In the case of Southeastern New Mexico Physician IPA, the FTC found that physician reimbursement in New Mexico for various services was typically between 120% and 140% of Medicare’s Resource Based Relative Value System (“RBRVS”).  However, due to the price fixing tactics employed by the groups in question, which are precisely what this bill would permit, rates in this particular part of New Mexico were typically over 200% RBRVS and at times topped 250% RBRVS.  The FTC found that the group’s “joint negotiation of fees and other competitively significant contract terms has not been, and is not, reasonably related to any efficiency-enhancing integration” and therefore is unjustified.</w:t>
      </w:r>
      <w:r w:rsidR="00EC7E9A">
        <w:rPr>
          <w:rStyle w:val="FootnoteReference"/>
          <w:rFonts w:eastAsia="Times New Roman"/>
          <w:iCs w:val="0"/>
          <w:szCs w:val="24"/>
        </w:rPr>
        <w:footnoteReference w:id="10"/>
      </w:r>
      <w:r w:rsidRPr="001F7816">
        <w:rPr>
          <w:rFonts w:eastAsia="Times New Roman"/>
          <w:iCs w:val="0"/>
          <w:szCs w:val="24"/>
        </w:rPr>
        <w:t xml:space="preserve">  The FTC repeatedly takes a similar position with respect to price-fixing for no purpose other than to increase physicians’ reimbursement at the expense of consumers.</w:t>
      </w:r>
    </w:p>
    <w:p w14:paraId="2431EB22" w14:textId="77777777" w:rsidR="001F7816" w:rsidRPr="001F7816" w:rsidRDefault="001F7816" w:rsidP="00AB4EC2">
      <w:pPr>
        <w:jc w:val="both"/>
        <w:rPr>
          <w:rFonts w:eastAsia="Times New Roman"/>
          <w:iCs w:val="0"/>
          <w:szCs w:val="24"/>
        </w:rPr>
      </w:pPr>
    </w:p>
    <w:p w14:paraId="2A16377E" w14:textId="008323A4" w:rsidR="001F7816" w:rsidRPr="001F7816" w:rsidRDefault="001F7816" w:rsidP="00AB4EC2">
      <w:pPr>
        <w:jc w:val="both"/>
        <w:rPr>
          <w:rFonts w:eastAsia="Times New Roman"/>
          <w:iCs w:val="0"/>
          <w:szCs w:val="24"/>
        </w:rPr>
      </w:pPr>
      <w:r w:rsidRPr="001F7816">
        <w:rPr>
          <w:rFonts w:eastAsia="Times New Roman"/>
          <w:iCs w:val="0"/>
          <w:szCs w:val="24"/>
        </w:rPr>
        <w:t xml:space="preserve">For these reasons, </w:t>
      </w:r>
      <w:proofErr w:type="gramStart"/>
      <w:r w:rsidR="007B28A0" w:rsidRPr="007B28A0">
        <w:rPr>
          <w:rFonts w:eastAsia="Times New Roman"/>
          <w:szCs w:val="24"/>
        </w:rPr>
        <w:t>New</w:t>
      </w:r>
      <w:proofErr w:type="gramEnd"/>
      <w:r w:rsidR="007B28A0" w:rsidRPr="007B28A0">
        <w:rPr>
          <w:rFonts w:eastAsia="Times New Roman"/>
          <w:szCs w:val="24"/>
        </w:rPr>
        <w:t xml:space="preserve"> York State Conference of Blue Cross and Blue Shield Plans strongly opposes this legislation and urges that it </w:t>
      </w:r>
      <w:proofErr w:type="gramStart"/>
      <w:r w:rsidR="007B28A0" w:rsidRPr="007B28A0">
        <w:rPr>
          <w:rFonts w:eastAsia="Times New Roman"/>
          <w:szCs w:val="24"/>
        </w:rPr>
        <w:t>not be</w:t>
      </w:r>
      <w:proofErr w:type="gramEnd"/>
      <w:r w:rsidR="007B28A0" w:rsidRPr="007B28A0">
        <w:rPr>
          <w:rFonts w:eastAsia="Times New Roman"/>
          <w:szCs w:val="24"/>
        </w:rPr>
        <w:t xml:space="preserve"> enacted</w:t>
      </w:r>
      <w:r w:rsidR="00AB4EC2">
        <w:rPr>
          <w:rFonts w:eastAsia="Times New Roman"/>
          <w:szCs w:val="24"/>
        </w:rPr>
        <w:t>.</w:t>
      </w:r>
    </w:p>
    <w:p w14:paraId="315BA2D5" w14:textId="77777777" w:rsidR="001F7816" w:rsidRPr="001F7816" w:rsidRDefault="001F7816" w:rsidP="00AB4EC2">
      <w:pPr>
        <w:jc w:val="both"/>
        <w:rPr>
          <w:rFonts w:eastAsia="Times New Roman"/>
          <w:iCs w:val="0"/>
          <w:szCs w:val="24"/>
        </w:rPr>
      </w:pPr>
    </w:p>
    <w:p w14:paraId="238298DA" w14:textId="77777777" w:rsidR="001F7816" w:rsidRPr="001F7816" w:rsidRDefault="001F7816" w:rsidP="00AB4EC2">
      <w:pPr>
        <w:jc w:val="both"/>
        <w:rPr>
          <w:rFonts w:eastAsia="Times New Roman"/>
          <w:iCs w:val="0"/>
          <w:szCs w:val="24"/>
        </w:rPr>
      </w:pPr>
      <w:r w:rsidRPr="001F7816">
        <w:rPr>
          <w:rFonts w:eastAsia="Times New Roman"/>
          <w:iCs w:val="0"/>
          <w:szCs w:val="24"/>
        </w:rPr>
        <w:t>Respectfully submitted,</w:t>
      </w:r>
    </w:p>
    <w:p w14:paraId="642EA402" w14:textId="77777777" w:rsidR="001F7816" w:rsidRPr="001F7816" w:rsidRDefault="001F7816" w:rsidP="001F7816">
      <w:pPr>
        <w:rPr>
          <w:rFonts w:eastAsia="Times New Roman"/>
          <w:iCs w:val="0"/>
          <w:szCs w:val="24"/>
        </w:rPr>
      </w:pPr>
    </w:p>
    <w:p w14:paraId="6C56BF22" w14:textId="77777777" w:rsidR="001F7816" w:rsidRPr="001F7816" w:rsidRDefault="001F7816" w:rsidP="001F7816">
      <w:pPr>
        <w:rPr>
          <w:rFonts w:eastAsia="Times New Roman"/>
          <w:iCs w:val="0"/>
          <w:szCs w:val="24"/>
        </w:rPr>
      </w:pPr>
    </w:p>
    <w:p w14:paraId="56EF7675" w14:textId="77777777" w:rsidR="001F7816" w:rsidRPr="001F7816" w:rsidRDefault="001F7816" w:rsidP="001F7816">
      <w:pPr>
        <w:rPr>
          <w:rFonts w:eastAsia="Times New Roman"/>
          <w:iCs w:val="0"/>
          <w:szCs w:val="24"/>
        </w:rPr>
      </w:pPr>
      <w:r w:rsidRPr="001F7816">
        <w:rPr>
          <w:rFonts w:eastAsia="Times New Roman"/>
          <w:iCs w:val="0"/>
          <w:szCs w:val="24"/>
        </w:rPr>
        <w:t>HINMAN STRAUB ADVISORS, LLC</w:t>
      </w:r>
    </w:p>
    <w:p w14:paraId="3BA05121" w14:textId="77777777" w:rsidR="001F7816" w:rsidRPr="001F7816" w:rsidRDefault="001F7816" w:rsidP="001F7816">
      <w:pPr>
        <w:rPr>
          <w:rFonts w:eastAsia="Times New Roman"/>
          <w:iCs w:val="0"/>
          <w:szCs w:val="24"/>
        </w:rPr>
      </w:pPr>
      <w:r w:rsidRPr="001F7816">
        <w:rPr>
          <w:rFonts w:eastAsia="Times New Roman"/>
          <w:iCs w:val="0"/>
          <w:szCs w:val="24"/>
        </w:rPr>
        <w:t xml:space="preserve">Legislative Counsel for the Blue Cross and Blue Shield Plans </w:t>
      </w:r>
    </w:p>
    <w:p w14:paraId="105524AD" w14:textId="77777777" w:rsidR="00B831B9" w:rsidRDefault="00B831B9"/>
    <w:p w14:paraId="2D6CB17A" w14:textId="77777777" w:rsidR="00B831B9" w:rsidRDefault="00B831B9"/>
    <w:p w14:paraId="3DE16ABD" w14:textId="77777777" w:rsidR="00B145D4" w:rsidRDefault="00B145D4">
      <w:pPr>
        <w:rPr>
          <w:sz w:val="16"/>
        </w:rPr>
      </w:pPr>
    </w:p>
    <w:p w14:paraId="0BC8B133" w14:textId="036C8E26" w:rsidR="00764EAA" w:rsidRPr="00B831B9" w:rsidRDefault="00764EAA" w:rsidP="00764EAA">
      <w:pPr>
        <w:spacing w:line="180" w:lineRule="exact"/>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66D9F">
        <w:rPr>
          <w:rFonts w:ascii="Arial" w:hAnsi="Arial" w:cs="Arial"/>
          <w:sz w:val="16"/>
        </w:rPr>
        <w:t>4862-0729-5397, v. 1</w:t>
      </w:r>
      <w:r>
        <w:rPr>
          <w:rFonts w:ascii="Arial" w:hAnsi="Arial" w:cs="Arial"/>
          <w:sz w:val="16"/>
        </w:rPr>
        <w:fldChar w:fldCharType="end"/>
      </w:r>
    </w:p>
    <w:sectPr w:rsidR="00764EAA" w:rsidRPr="00B831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F4F5" w14:textId="77777777" w:rsidR="00A30F87" w:rsidRDefault="00A30F87" w:rsidP="00EC7E9A">
      <w:r>
        <w:separator/>
      </w:r>
    </w:p>
  </w:endnote>
  <w:endnote w:type="continuationSeparator" w:id="0">
    <w:p w14:paraId="7A5D8734" w14:textId="77777777" w:rsidR="00A30F87" w:rsidRDefault="00A30F87" w:rsidP="00EC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raversGothic BT">
    <w:panose1 w:val="020B0507020203020204"/>
    <w:charset w:val="00"/>
    <w:family w:val="swiss"/>
    <w:pitch w:val="variable"/>
    <w:sig w:usb0="00000087" w:usb1="00000000" w:usb2="00000000" w:usb3="00000000" w:csb0="0000001B" w:csb1="00000000"/>
  </w:font>
  <w:font w:name="EngravrsRoman BT">
    <w:altName w:val="Century"/>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57FDD" w14:textId="77777777" w:rsidR="00A30F87" w:rsidRDefault="00A30F87" w:rsidP="00EC7E9A">
      <w:r>
        <w:separator/>
      </w:r>
    </w:p>
  </w:footnote>
  <w:footnote w:type="continuationSeparator" w:id="0">
    <w:p w14:paraId="224876B4" w14:textId="77777777" w:rsidR="00A30F87" w:rsidRDefault="00A30F87" w:rsidP="00EC7E9A">
      <w:r>
        <w:continuationSeparator/>
      </w:r>
    </w:p>
  </w:footnote>
  <w:footnote w:id="1">
    <w:p w14:paraId="7E0B5A41" w14:textId="147BDB1A" w:rsidR="001C001B" w:rsidRPr="001C001B" w:rsidRDefault="001C001B">
      <w:pPr>
        <w:pStyle w:val="FootnoteText"/>
        <w:rPr>
          <w:rFonts w:eastAsia="Times New Roman"/>
          <w:iCs w:val="0"/>
          <w:szCs w:val="24"/>
        </w:rPr>
      </w:pPr>
      <w:r>
        <w:rPr>
          <w:rStyle w:val="FootnoteReference"/>
        </w:rPr>
        <w:footnoteRef/>
      </w:r>
      <w:r>
        <w:t xml:space="preserve"> </w:t>
      </w:r>
      <w:r w:rsidRPr="001F7816">
        <w:rPr>
          <w:rFonts w:eastAsia="Times New Roman"/>
          <w:iCs w:val="0"/>
          <w:szCs w:val="24"/>
        </w:rPr>
        <w:t xml:space="preserve">Letter from </w:t>
      </w:r>
      <w:r>
        <w:rPr>
          <w:rFonts w:eastAsia="Times New Roman"/>
          <w:iCs w:val="0"/>
          <w:szCs w:val="24"/>
        </w:rPr>
        <w:t>the Fed. Trade Comm’n</w:t>
      </w:r>
      <w:r w:rsidRPr="001F7816">
        <w:rPr>
          <w:rFonts w:eastAsia="Times New Roman"/>
          <w:iCs w:val="0"/>
          <w:szCs w:val="24"/>
        </w:rPr>
        <w:t xml:space="preserve"> to Sen. John J. Bonacic (October 20, 2011)</w:t>
      </w:r>
      <w:r>
        <w:rPr>
          <w:rFonts w:eastAsia="Times New Roman"/>
          <w:iCs w:val="0"/>
          <w:szCs w:val="24"/>
        </w:rPr>
        <w:t xml:space="preserve">, </w:t>
      </w:r>
      <w:r w:rsidRPr="00D507CD">
        <w:rPr>
          <w:rFonts w:eastAsia="Times New Roman"/>
          <w:i/>
          <w:szCs w:val="24"/>
        </w:rPr>
        <w:t>available at</w:t>
      </w:r>
      <w:r>
        <w:rPr>
          <w:rFonts w:eastAsia="Times New Roman"/>
          <w:iCs w:val="0"/>
          <w:szCs w:val="24"/>
        </w:rPr>
        <w:t xml:space="preserve"> </w:t>
      </w:r>
      <w:r w:rsidRPr="00D507CD">
        <w:rPr>
          <w:rFonts w:eastAsia="Times New Roman"/>
          <w:iCs w:val="0"/>
          <w:szCs w:val="24"/>
        </w:rPr>
        <w:t>https://www.ftc.gov/sites/default/files/documents/advocacy_documents/ftc-staff-comment-honorable-john-j.bonacic-concerning-new-york-s.b.3186-allow-health-care-providers-negotiate-collectively-health-plans/111024nyhealthcare.pdf</w:t>
      </w:r>
      <w:r>
        <w:rPr>
          <w:rFonts w:eastAsia="Times New Roman"/>
          <w:iCs w:val="0"/>
          <w:szCs w:val="24"/>
        </w:rPr>
        <w:t>.</w:t>
      </w:r>
    </w:p>
  </w:footnote>
  <w:footnote w:id="2">
    <w:p w14:paraId="6E0DB526" w14:textId="5318A132" w:rsidR="00EC7E9A" w:rsidRDefault="00EC7E9A">
      <w:pPr>
        <w:pStyle w:val="FootnoteText"/>
      </w:pPr>
      <w:r>
        <w:rPr>
          <w:rStyle w:val="FootnoteReference"/>
        </w:rPr>
        <w:footnoteRef/>
      </w:r>
      <w:r>
        <w:t xml:space="preserve"> </w:t>
      </w:r>
      <w:r w:rsidR="001C001B" w:rsidRPr="001C001B">
        <w:rPr>
          <w:i/>
          <w:iCs w:val="0"/>
        </w:rPr>
        <w:t>Id</w:t>
      </w:r>
      <w:r w:rsidR="001C001B">
        <w:t>.</w:t>
      </w:r>
    </w:p>
  </w:footnote>
  <w:footnote w:id="3">
    <w:p w14:paraId="62D85FA7" w14:textId="2A64C527" w:rsidR="00EC7E9A" w:rsidRDefault="00EC7E9A">
      <w:pPr>
        <w:pStyle w:val="FootnoteText"/>
      </w:pPr>
      <w:r>
        <w:rPr>
          <w:rStyle w:val="FootnoteReference"/>
        </w:rPr>
        <w:footnoteRef/>
      </w:r>
      <w:r>
        <w:t xml:space="preserve"> </w:t>
      </w:r>
      <w:r w:rsidRPr="001F7816">
        <w:rPr>
          <w:rFonts w:eastAsia="Times New Roman"/>
          <w:i/>
          <w:iCs w:val="0"/>
          <w:szCs w:val="24"/>
        </w:rPr>
        <w:t>Id</w:t>
      </w:r>
      <w:r w:rsidRPr="001F7816">
        <w:rPr>
          <w:rFonts w:eastAsia="Times New Roman"/>
          <w:iCs w:val="0"/>
          <w:szCs w:val="24"/>
        </w:rPr>
        <w:t>. at 3, 4 (emphasis added).</w:t>
      </w:r>
    </w:p>
  </w:footnote>
  <w:footnote w:id="4">
    <w:p w14:paraId="2D3FE1BC" w14:textId="60FD043E" w:rsidR="00EC7E9A" w:rsidRDefault="00EC7E9A">
      <w:pPr>
        <w:pStyle w:val="FootnoteText"/>
      </w:pPr>
      <w:r>
        <w:rPr>
          <w:rStyle w:val="FootnoteReference"/>
        </w:rPr>
        <w:footnoteRef/>
      </w:r>
      <w:r>
        <w:t xml:space="preserve"> </w:t>
      </w:r>
      <w:r w:rsidRPr="001F7816">
        <w:rPr>
          <w:rFonts w:eastAsia="Times New Roman"/>
          <w:i/>
          <w:iCs w:val="0"/>
          <w:szCs w:val="24"/>
        </w:rPr>
        <w:t>Id</w:t>
      </w:r>
      <w:r w:rsidRPr="001F7816">
        <w:rPr>
          <w:rFonts w:eastAsia="Times New Roman"/>
          <w:iCs w:val="0"/>
          <w:szCs w:val="24"/>
        </w:rPr>
        <w:t xml:space="preserve">. at 4.  </w:t>
      </w:r>
    </w:p>
  </w:footnote>
  <w:footnote w:id="5">
    <w:p w14:paraId="48C6A933" w14:textId="7E23E632" w:rsidR="00EC7E9A" w:rsidRDefault="00EC7E9A">
      <w:pPr>
        <w:pStyle w:val="FootnoteText"/>
      </w:pPr>
      <w:r>
        <w:rPr>
          <w:rStyle w:val="FootnoteReference"/>
        </w:rPr>
        <w:footnoteRef/>
      </w:r>
      <w:r>
        <w:t xml:space="preserve"> </w:t>
      </w:r>
      <w:r w:rsidRPr="001F7816">
        <w:rPr>
          <w:rFonts w:eastAsia="Times New Roman"/>
          <w:i/>
          <w:iCs w:val="0"/>
          <w:szCs w:val="24"/>
        </w:rPr>
        <w:t>Id</w:t>
      </w:r>
      <w:r w:rsidRPr="001F7816">
        <w:rPr>
          <w:rFonts w:eastAsia="Times New Roman"/>
          <w:iCs w:val="0"/>
          <w:szCs w:val="24"/>
        </w:rPr>
        <w:t>. at 7.</w:t>
      </w:r>
    </w:p>
  </w:footnote>
  <w:footnote w:id="6">
    <w:p w14:paraId="6B43ED40" w14:textId="77777777" w:rsidR="00217AF7" w:rsidRDefault="00217AF7" w:rsidP="00217AF7">
      <w:pPr>
        <w:pStyle w:val="FootnoteText"/>
      </w:pPr>
      <w:r>
        <w:rPr>
          <w:rStyle w:val="FootnoteReference"/>
        </w:rPr>
        <w:footnoteRef/>
      </w:r>
      <w:r>
        <w:t xml:space="preserve"> </w:t>
      </w:r>
      <w:r w:rsidRPr="001F7816">
        <w:rPr>
          <w:rFonts w:eastAsia="Times New Roman"/>
          <w:i/>
          <w:iCs w:val="0"/>
          <w:szCs w:val="24"/>
        </w:rPr>
        <w:t xml:space="preserve">See </w:t>
      </w:r>
      <w:r w:rsidRPr="00C67857">
        <w:rPr>
          <w:rFonts w:eastAsia="Times New Roman"/>
          <w:i/>
          <w:szCs w:val="24"/>
        </w:rPr>
        <w:t>Improving Health Care: A Dose of Competition</w:t>
      </w:r>
      <w:r w:rsidRPr="001F7816">
        <w:rPr>
          <w:rFonts w:eastAsia="Times New Roman"/>
          <w:iCs w:val="0"/>
          <w:szCs w:val="24"/>
        </w:rPr>
        <w:t>, A Report by the Federal Trade Commission and the Department of Justice, July 2004, Executive Summary at 23</w:t>
      </w:r>
      <w:r>
        <w:rPr>
          <w:rFonts w:eastAsia="Times New Roman"/>
          <w:iCs w:val="0"/>
          <w:szCs w:val="24"/>
        </w:rPr>
        <w:t xml:space="preserve">, </w:t>
      </w:r>
      <w:r w:rsidRPr="00486C88">
        <w:rPr>
          <w:rFonts w:eastAsia="Times New Roman"/>
          <w:i/>
          <w:szCs w:val="24"/>
        </w:rPr>
        <w:t>available at</w:t>
      </w:r>
      <w:r>
        <w:rPr>
          <w:rFonts w:eastAsia="Times New Roman"/>
          <w:iCs w:val="0"/>
          <w:szCs w:val="24"/>
        </w:rPr>
        <w:t xml:space="preserve"> </w:t>
      </w:r>
      <w:r w:rsidRPr="00C67857">
        <w:rPr>
          <w:rFonts w:eastAsia="Times New Roman"/>
          <w:iCs w:val="0"/>
          <w:szCs w:val="24"/>
        </w:rPr>
        <w:t>https://www.ftc.gov/sites/default/files/documents/reports/improving-health-care-dose-competition-report-federal-trade-commission-and-department-justice/040723healthcarerpt.pdf</w:t>
      </w:r>
      <w:r>
        <w:rPr>
          <w:rFonts w:eastAsia="Times New Roman"/>
          <w:iCs w:val="0"/>
          <w:szCs w:val="24"/>
        </w:rPr>
        <w:t>.</w:t>
      </w:r>
    </w:p>
  </w:footnote>
  <w:footnote w:id="7">
    <w:p w14:paraId="164F2AAF" w14:textId="25EA2969" w:rsidR="00EC7E9A" w:rsidRPr="00217AF7" w:rsidRDefault="00EC7E9A">
      <w:pPr>
        <w:pStyle w:val="FootnoteText"/>
        <w:rPr>
          <w:rFonts w:eastAsia="Times New Roman"/>
          <w:iCs w:val="0"/>
          <w:szCs w:val="24"/>
        </w:rPr>
      </w:pPr>
      <w:r>
        <w:rPr>
          <w:rStyle w:val="FootnoteReference"/>
        </w:rPr>
        <w:footnoteRef/>
      </w:r>
      <w:r>
        <w:t xml:space="preserve"> </w:t>
      </w:r>
      <w:r w:rsidRPr="001F7816">
        <w:rPr>
          <w:rFonts w:eastAsia="Times New Roman"/>
          <w:iCs w:val="0"/>
          <w:szCs w:val="24"/>
        </w:rPr>
        <w:t xml:space="preserve">Letter from </w:t>
      </w:r>
      <w:r w:rsidR="00217AF7">
        <w:rPr>
          <w:rFonts w:eastAsia="Times New Roman"/>
          <w:iCs w:val="0"/>
          <w:szCs w:val="24"/>
        </w:rPr>
        <w:t xml:space="preserve">Assistant </w:t>
      </w:r>
      <w:proofErr w:type="spellStart"/>
      <w:r w:rsidR="00217AF7">
        <w:rPr>
          <w:rFonts w:eastAsia="Times New Roman"/>
          <w:iCs w:val="0"/>
          <w:szCs w:val="24"/>
        </w:rPr>
        <w:t>Att’y</w:t>
      </w:r>
      <w:proofErr w:type="spellEnd"/>
      <w:r w:rsidR="00217AF7">
        <w:rPr>
          <w:rFonts w:eastAsia="Times New Roman"/>
          <w:iCs w:val="0"/>
          <w:szCs w:val="24"/>
        </w:rPr>
        <w:t xml:space="preserve"> </w:t>
      </w:r>
      <w:r w:rsidRPr="001F7816">
        <w:rPr>
          <w:rFonts w:eastAsia="Times New Roman"/>
          <w:iCs w:val="0"/>
          <w:szCs w:val="24"/>
        </w:rPr>
        <w:t>G</w:t>
      </w:r>
      <w:r w:rsidR="00217AF7">
        <w:rPr>
          <w:rFonts w:eastAsia="Times New Roman"/>
          <w:iCs w:val="0"/>
          <w:szCs w:val="24"/>
        </w:rPr>
        <w:t>en</w:t>
      </w:r>
      <w:r w:rsidRPr="001F7816">
        <w:rPr>
          <w:rFonts w:eastAsia="Times New Roman"/>
          <w:iCs w:val="0"/>
          <w:szCs w:val="24"/>
        </w:rPr>
        <w:t>. Kathy Bennett, Legislative Bureau</w:t>
      </w:r>
      <w:r w:rsidR="00217AF7">
        <w:rPr>
          <w:rFonts w:eastAsia="Times New Roman"/>
          <w:iCs w:val="0"/>
          <w:szCs w:val="24"/>
        </w:rPr>
        <w:t xml:space="preserve"> Chief</w:t>
      </w:r>
      <w:r w:rsidRPr="001F7816">
        <w:rPr>
          <w:rFonts w:eastAsia="Times New Roman"/>
          <w:iCs w:val="0"/>
          <w:szCs w:val="24"/>
        </w:rPr>
        <w:t xml:space="preserve">, to </w:t>
      </w:r>
      <w:proofErr w:type="spellStart"/>
      <w:r w:rsidRPr="001F7816">
        <w:rPr>
          <w:rFonts w:eastAsia="Times New Roman"/>
          <w:iCs w:val="0"/>
          <w:szCs w:val="24"/>
        </w:rPr>
        <w:t>Assem</w:t>
      </w:r>
      <w:r w:rsidR="00217AF7">
        <w:rPr>
          <w:rFonts w:eastAsia="Times New Roman"/>
          <w:iCs w:val="0"/>
          <w:szCs w:val="24"/>
        </w:rPr>
        <w:t>b</w:t>
      </w:r>
      <w:proofErr w:type="spellEnd"/>
      <w:r w:rsidR="00217AF7">
        <w:rPr>
          <w:rFonts w:eastAsia="Times New Roman"/>
          <w:iCs w:val="0"/>
          <w:szCs w:val="24"/>
        </w:rPr>
        <w:t>.</w:t>
      </w:r>
      <w:r w:rsidRPr="001F7816">
        <w:rPr>
          <w:rFonts w:eastAsia="Times New Roman"/>
          <w:iCs w:val="0"/>
          <w:szCs w:val="24"/>
        </w:rPr>
        <w:t xml:space="preserve"> Canestrari</w:t>
      </w:r>
      <w:r w:rsidR="00486C88">
        <w:rPr>
          <w:rFonts w:eastAsia="Times New Roman"/>
          <w:iCs w:val="0"/>
          <w:szCs w:val="24"/>
        </w:rPr>
        <w:t xml:space="preserve">, </w:t>
      </w:r>
      <w:r w:rsidRPr="001F7816">
        <w:rPr>
          <w:rFonts w:eastAsia="Times New Roman"/>
          <w:iCs w:val="0"/>
          <w:szCs w:val="24"/>
        </w:rPr>
        <w:t xml:space="preserve">June 14, 2000.  </w:t>
      </w:r>
    </w:p>
  </w:footnote>
  <w:footnote w:id="8">
    <w:p w14:paraId="11F73C8D" w14:textId="4DA9AD4E" w:rsidR="00EC7E9A" w:rsidRDefault="00EC7E9A">
      <w:pPr>
        <w:pStyle w:val="FootnoteText"/>
      </w:pPr>
      <w:r>
        <w:rPr>
          <w:rStyle w:val="FootnoteReference"/>
        </w:rPr>
        <w:footnoteRef/>
      </w:r>
      <w:r>
        <w:t xml:space="preserve"> </w:t>
      </w:r>
      <w:r w:rsidR="00217AF7" w:rsidRPr="001F7816">
        <w:rPr>
          <w:rFonts w:eastAsia="Times New Roman"/>
          <w:iCs w:val="0"/>
          <w:szCs w:val="24"/>
        </w:rPr>
        <w:t xml:space="preserve">Letter from </w:t>
      </w:r>
      <w:r w:rsidR="00217AF7">
        <w:rPr>
          <w:rFonts w:eastAsia="Times New Roman"/>
          <w:iCs w:val="0"/>
          <w:szCs w:val="24"/>
        </w:rPr>
        <w:t>the Fed. Trade Comm’n</w:t>
      </w:r>
      <w:r w:rsidR="00217AF7" w:rsidRPr="001F7816">
        <w:rPr>
          <w:rFonts w:eastAsia="Times New Roman"/>
          <w:iCs w:val="0"/>
          <w:szCs w:val="24"/>
        </w:rPr>
        <w:t xml:space="preserve"> to Sen. John J. Bonacic (October 20, 2011)</w:t>
      </w:r>
      <w:r w:rsidR="00217AF7">
        <w:rPr>
          <w:rFonts w:eastAsia="Times New Roman"/>
          <w:iCs w:val="0"/>
          <w:szCs w:val="24"/>
        </w:rPr>
        <w:t xml:space="preserve">, </w:t>
      </w:r>
      <w:r w:rsidR="00217AF7" w:rsidRPr="00D507CD">
        <w:rPr>
          <w:rFonts w:eastAsia="Times New Roman"/>
          <w:i/>
          <w:szCs w:val="24"/>
        </w:rPr>
        <w:t>available at</w:t>
      </w:r>
      <w:r w:rsidR="00217AF7">
        <w:rPr>
          <w:rFonts w:eastAsia="Times New Roman"/>
          <w:iCs w:val="0"/>
          <w:szCs w:val="24"/>
        </w:rPr>
        <w:t xml:space="preserve"> </w:t>
      </w:r>
      <w:r w:rsidR="00217AF7" w:rsidRPr="00D507CD">
        <w:rPr>
          <w:rFonts w:eastAsia="Times New Roman"/>
          <w:iCs w:val="0"/>
          <w:szCs w:val="24"/>
        </w:rPr>
        <w:t>https://www.ftc.gov/sites/default/files/documents/advocacy_documents/ftc-staff-comment-honorable-john-j.bonacic-concerning-new-york-s.b.3186-allow-health-care-providers-negotiate-collectively-health-plans/111024nyhealthcare.pdf</w:t>
      </w:r>
      <w:r w:rsidR="00217AF7">
        <w:rPr>
          <w:rFonts w:eastAsia="Times New Roman"/>
          <w:iCs w:val="0"/>
          <w:szCs w:val="24"/>
        </w:rPr>
        <w:t>.</w:t>
      </w:r>
      <w:r w:rsidRPr="001F7816">
        <w:rPr>
          <w:rFonts w:eastAsia="Times New Roman"/>
          <w:iCs w:val="0"/>
          <w:szCs w:val="24"/>
        </w:rPr>
        <w:t xml:space="preserve">  </w:t>
      </w:r>
    </w:p>
  </w:footnote>
  <w:footnote w:id="9">
    <w:p w14:paraId="6A81D938" w14:textId="40B05D45" w:rsidR="00EC7E9A" w:rsidRDefault="00EC7E9A">
      <w:pPr>
        <w:pStyle w:val="FootnoteText"/>
      </w:pPr>
      <w:r>
        <w:rPr>
          <w:rStyle w:val="FootnoteReference"/>
        </w:rPr>
        <w:footnoteRef/>
      </w:r>
      <w:r>
        <w:t xml:space="preserve"> </w:t>
      </w:r>
      <w:r w:rsidR="00FD2B8F" w:rsidRPr="00FD2B8F">
        <w:t>Fed. Trade Comm’n</w:t>
      </w:r>
      <w:r w:rsidR="00D507CD">
        <w:t xml:space="preserve">, </w:t>
      </w:r>
      <w:r w:rsidRPr="00D507CD">
        <w:rPr>
          <w:rFonts w:eastAsia="Times New Roman"/>
          <w:i/>
          <w:szCs w:val="24"/>
        </w:rPr>
        <w:t>Overview of FTC Antitrust Actions in Health Care Services and Products</w:t>
      </w:r>
      <w:r w:rsidRPr="001F7816">
        <w:rPr>
          <w:rFonts w:eastAsia="Times New Roman"/>
          <w:iCs w:val="0"/>
          <w:szCs w:val="24"/>
        </w:rPr>
        <w:t xml:space="preserve"> (</w:t>
      </w:r>
      <w:r w:rsidR="00D507CD">
        <w:rPr>
          <w:rFonts w:eastAsia="Times New Roman"/>
          <w:iCs w:val="0"/>
          <w:szCs w:val="24"/>
        </w:rPr>
        <w:t>Jan.</w:t>
      </w:r>
      <w:r w:rsidRPr="001F7816">
        <w:rPr>
          <w:rFonts w:eastAsia="Times New Roman"/>
          <w:iCs w:val="0"/>
          <w:szCs w:val="24"/>
        </w:rPr>
        <w:t xml:space="preserve"> 20</w:t>
      </w:r>
      <w:r w:rsidR="00D507CD">
        <w:rPr>
          <w:rFonts w:eastAsia="Times New Roman"/>
          <w:iCs w:val="0"/>
          <w:szCs w:val="24"/>
        </w:rPr>
        <w:t>24</w:t>
      </w:r>
      <w:r w:rsidRPr="001F7816">
        <w:rPr>
          <w:rFonts w:eastAsia="Times New Roman"/>
          <w:iCs w:val="0"/>
          <w:szCs w:val="24"/>
        </w:rPr>
        <w:t>)</w:t>
      </w:r>
      <w:r w:rsidR="00D507CD">
        <w:rPr>
          <w:rFonts w:eastAsia="Times New Roman"/>
          <w:iCs w:val="0"/>
          <w:szCs w:val="24"/>
        </w:rPr>
        <w:t xml:space="preserve">, </w:t>
      </w:r>
      <w:r w:rsidR="00D507CD" w:rsidRPr="00FD2B8F">
        <w:rPr>
          <w:rFonts w:eastAsia="Times New Roman"/>
          <w:i/>
          <w:szCs w:val="24"/>
        </w:rPr>
        <w:t>available at</w:t>
      </w:r>
      <w:r w:rsidR="00D507CD">
        <w:rPr>
          <w:rFonts w:eastAsia="Times New Roman"/>
          <w:iCs w:val="0"/>
          <w:szCs w:val="24"/>
        </w:rPr>
        <w:t xml:space="preserve"> </w:t>
      </w:r>
      <w:r w:rsidR="00D507CD" w:rsidRPr="00D507CD">
        <w:rPr>
          <w:rFonts w:eastAsia="Times New Roman"/>
          <w:iCs w:val="0"/>
          <w:szCs w:val="24"/>
        </w:rPr>
        <w:t>https://www.ftc.gov/system/files/ftc_gov/pdf/Overview-Healthcare.pdf</w:t>
      </w:r>
      <w:r w:rsidRPr="001F7816">
        <w:rPr>
          <w:rFonts w:eastAsia="Times New Roman"/>
          <w:iCs w:val="0"/>
          <w:szCs w:val="24"/>
        </w:rPr>
        <w:t>.</w:t>
      </w:r>
    </w:p>
  </w:footnote>
  <w:footnote w:id="10">
    <w:p w14:paraId="1D3011E3" w14:textId="56871909" w:rsidR="00EC7E9A" w:rsidRDefault="00EC7E9A">
      <w:pPr>
        <w:pStyle w:val="FootnoteText"/>
      </w:pPr>
      <w:r>
        <w:rPr>
          <w:rStyle w:val="FootnoteReference"/>
        </w:rPr>
        <w:footnoteRef/>
      </w:r>
      <w:r>
        <w:t xml:space="preserve"> </w:t>
      </w:r>
      <w:r w:rsidR="00C67857">
        <w:t xml:space="preserve"> </w:t>
      </w:r>
      <w:r w:rsidR="00C67857" w:rsidRPr="003E2C1A">
        <w:rPr>
          <w:i/>
          <w:iCs w:val="0"/>
        </w:rPr>
        <w:t>In re Southeastern N.M. Physicians IPA</w:t>
      </w:r>
      <w:r w:rsidR="00C67857">
        <w:t>, 136</w:t>
      </w:r>
      <w:r w:rsidRPr="001F7816">
        <w:rPr>
          <w:rFonts w:eastAsia="Times New Roman"/>
          <w:iCs w:val="0"/>
          <w:szCs w:val="24"/>
        </w:rPr>
        <w:t xml:space="preserve"> F.T.C. 281</w:t>
      </w:r>
      <w:r w:rsidR="00CE1828">
        <w:rPr>
          <w:rFonts w:eastAsia="Times New Roman"/>
          <w:iCs w:val="0"/>
          <w:szCs w:val="24"/>
        </w:rPr>
        <w:t>, 290</w:t>
      </w:r>
      <w:r w:rsidRPr="001F7816">
        <w:rPr>
          <w:rFonts w:eastAsia="Times New Roman"/>
          <w:iCs w:val="0"/>
          <w:szCs w:val="24"/>
        </w:rPr>
        <w:t xml:space="preserve"> (200</w:t>
      </w:r>
      <w:r w:rsidR="00CE1828">
        <w:rPr>
          <w:rFonts w:eastAsia="Times New Roman"/>
          <w:iCs w:val="0"/>
          <w:szCs w:val="24"/>
        </w:rPr>
        <w:t>4</w:t>
      </w:r>
      <w:r w:rsidRPr="001F7816">
        <w:rPr>
          <w:rFonts w:eastAsia="Times New Roman"/>
          <w:iCs w:val="0"/>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644E8"/>
    <w:multiLevelType w:val="hybridMultilevel"/>
    <w:tmpl w:val="1EF29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D3B0E"/>
    <w:multiLevelType w:val="hybridMultilevel"/>
    <w:tmpl w:val="42A41136"/>
    <w:lvl w:ilvl="0" w:tplc="9774B892">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58D4E32"/>
    <w:multiLevelType w:val="hybridMultilevel"/>
    <w:tmpl w:val="341E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527591">
    <w:abstractNumId w:val="1"/>
  </w:num>
  <w:num w:numId="2" w16cid:durableId="638458693">
    <w:abstractNumId w:val="0"/>
  </w:num>
  <w:num w:numId="3" w16cid:durableId="668289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2-0729-5397, v. 1"/>
    <w:docVar w:name="ndGeneratedStampLocation" w:val="LastPage"/>
  </w:docVars>
  <w:rsids>
    <w:rsidRoot w:val="001F7816"/>
    <w:rsid w:val="000651FB"/>
    <w:rsid w:val="000A6C44"/>
    <w:rsid w:val="001C001B"/>
    <w:rsid w:val="001F7816"/>
    <w:rsid w:val="00217AF7"/>
    <w:rsid w:val="00227E79"/>
    <w:rsid w:val="002B7E95"/>
    <w:rsid w:val="00316245"/>
    <w:rsid w:val="00366D9F"/>
    <w:rsid w:val="003E2C1A"/>
    <w:rsid w:val="00486C88"/>
    <w:rsid w:val="004C2215"/>
    <w:rsid w:val="0057506F"/>
    <w:rsid w:val="005C42E8"/>
    <w:rsid w:val="006F627B"/>
    <w:rsid w:val="00764EAA"/>
    <w:rsid w:val="007B28A0"/>
    <w:rsid w:val="0086053C"/>
    <w:rsid w:val="009046DD"/>
    <w:rsid w:val="00A30F87"/>
    <w:rsid w:val="00AB4EC2"/>
    <w:rsid w:val="00B145D4"/>
    <w:rsid w:val="00B831B9"/>
    <w:rsid w:val="00C25639"/>
    <w:rsid w:val="00C67857"/>
    <w:rsid w:val="00CE1828"/>
    <w:rsid w:val="00CF0A66"/>
    <w:rsid w:val="00D507CD"/>
    <w:rsid w:val="00D72D6D"/>
    <w:rsid w:val="00EC7E9A"/>
    <w:rsid w:val="00F90453"/>
    <w:rsid w:val="00FB4C16"/>
    <w:rsid w:val="00FD2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BFE8E7A"/>
  <w15:docId w15:val="{E6C9D32F-5CD1-4B2C-8EC2-1FA6CE60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66"/>
    <w:rPr>
      <w:iCs/>
    </w:rPr>
  </w:style>
  <w:style w:type="paragraph" w:styleId="Heading1">
    <w:name w:val="heading 1"/>
    <w:basedOn w:val="Normal"/>
    <w:next w:val="Normal"/>
    <w:link w:val="Heading1Char"/>
    <w:uiPriority w:val="9"/>
    <w:qFormat/>
    <w:rsid w:val="00CF0A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0A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0A6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A66"/>
    <w:rPr>
      <w:rFonts w:asciiTheme="majorHAnsi" w:eastAsiaTheme="majorEastAsia" w:hAnsiTheme="majorHAnsi" w:cstheme="majorBidi"/>
      <w:b/>
      <w:bCs/>
      <w:iCs/>
      <w:color w:val="365F91" w:themeColor="accent1" w:themeShade="BF"/>
      <w:sz w:val="28"/>
      <w:szCs w:val="28"/>
    </w:rPr>
  </w:style>
  <w:style w:type="character" w:customStyle="1" w:styleId="Heading2Char">
    <w:name w:val="Heading 2 Char"/>
    <w:basedOn w:val="DefaultParagraphFont"/>
    <w:link w:val="Heading2"/>
    <w:uiPriority w:val="9"/>
    <w:rsid w:val="00CF0A66"/>
    <w:rPr>
      <w:rFonts w:asciiTheme="majorHAnsi" w:eastAsiaTheme="majorEastAsia" w:hAnsiTheme="majorHAnsi" w:cstheme="majorBidi"/>
      <w:b/>
      <w:bCs/>
      <w:iCs/>
      <w:color w:val="4F81BD" w:themeColor="accent1"/>
      <w:sz w:val="26"/>
      <w:szCs w:val="26"/>
    </w:rPr>
  </w:style>
  <w:style w:type="character" w:customStyle="1" w:styleId="Heading3Char">
    <w:name w:val="Heading 3 Char"/>
    <w:basedOn w:val="DefaultParagraphFont"/>
    <w:link w:val="Heading3"/>
    <w:uiPriority w:val="9"/>
    <w:rsid w:val="00CF0A66"/>
    <w:rPr>
      <w:rFonts w:asciiTheme="majorHAnsi" w:eastAsiaTheme="majorEastAsia" w:hAnsiTheme="majorHAnsi" w:cstheme="majorBidi"/>
      <w:b/>
      <w:bCs/>
      <w:iCs/>
      <w:color w:val="4F81BD" w:themeColor="accent1"/>
    </w:rPr>
  </w:style>
  <w:style w:type="paragraph" w:styleId="NoSpacing">
    <w:name w:val="No Spacing"/>
    <w:uiPriority w:val="1"/>
    <w:qFormat/>
    <w:rsid w:val="00CF0A66"/>
    <w:rPr>
      <w:iCs/>
    </w:rPr>
  </w:style>
  <w:style w:type="paragraph" w:styleId="BalloonText">
    <w:name w:val="Balloon Text"/>
    <w:basedOn w:val="Normal"/>
    <w:link w:val="BalloonTextChar"/>
    <w:uiPriority w:val="99"/>
    <w:semiHidden/>
    <w:unhideWhenUsed/>
    <w:rsid w:val="001F7816"/>
    <w:rPr>
      <w:rFonts w:ascii="Tahoma" w:hAnsi="Tahoma" w:cs="Tahoma"/>
      <w:sz w:val="16"/>
      <w:szCs w:val="16"/>
    </w:rPr>
  </w:style>
  <w:style w:type="character" w:customStyle="1" w:styleId="BalloonTextChar">
    <w:name w:val="Balloon Text Char"/>
    <w:basedOn w:val="DefaultParagraphFont"/>
    <w:link w:val="BalloonText"/>
    <w:uiPriority w:val="99"/>
    <w:semiHidden/>
    <w:rsid w:val="001F7816"/>
    <w:rPr>
      <w:rFonts w:ascii="Tahoma" w:hAnsi="Tahoma" w:cs="Tahoma"/>
      <w:iCs/>
      <w:sz w:val="16"/>
      <w:szCs w:val="16"/>
    </w:rPr>
  </w:style>
  <w:style w:type="paragraph" w:styleId="ListParagraph">
    <w:name w:val="List Paragraph"/>
    <w:basedOn w:val="Normal"/>
    <w:uiPriority w:val="34"/>
    <w:qFormat/>
    <w:rsid w:val="001F7816"/>
    <w:pPr>
      <w:ind w:left="720"/>
      <w:contextualSpacing/>
    </w:pPr>
  </w:style>
  <w:style w:type="paragraph" w:styleId="FootnoteText">
    <w:name w:val="footnote text"/>
    <w:basedOn w:val="Normal"/>
    <w:link w:val="FootnoteTextChar"/>
    <w:uiPriority w:val="99"/>
    <w:semiHidden/>
    <w:unhideWhenUsed/>
    <w:rsid w:val="00EC7E9A"/>
    <w:rPr>
      <w:sz w:val="20"/>
    </w:rPr>
  </w:style>
  <w:style w:type="character" w:customStyle="1" w:styleId="FootnoteTextChar">
    <w:name w:val="Footnote Text Char"/>
    <w:basedOn w:val="DefaultParagraphFont"/>
    <w:link w:val="FootnoteText"/>
    <w:uiPriority w:val="99"/>
    <w:semiHidden/>
    <w:rsid w:val="00EC7E9A"/>
    <w:rPr>
      <w:iCs/>
      <w:sz w:val="20"/>
    </w:rPr>
  </w:style>
  <w:style w:type="character" w:styleId="FootnoteReference">
    <w:name w:val="footnote reference"/>
    <w:basedOn w:val="DefaultParagraphFont"/>
    <w:uiPriority w:val="99"/>
    <w:semiHidden/>
    <w:unhideWhenUsed/>
    <w:rsid w:val="00EC7E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501C3-9A93-4558-A1D7-B9CEECD9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Hinman Straub, pc</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 Paulsen</dc:creator>
  <cp:keywords/>
  <dc:description/>
  <cp:lastModifiedBy>Daniel Hinckley</cp:lastModifiedBy>
  <cp:revision>2</cp:revision>
  <cp:lastPrinted>2019-04-26T18:13:00Z</cp:lastPrinted>
  <dcterms:created xsi:type="dcterms:W3CDTF">2024-03-21T17:24:00Z</dcterms:created>
  <dcterms:modified xsi:type="dcterms:W3CDTF">2024-03-21T17:24:00Z</dcterms:modified>
</cp:coreProperties>
</file>