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F277D" w14:textId="77777777" w:rsidR="00335A82" w:rsidRDefault="00952EF2" w:rsidP="00335A82">
      <w:r>
        <w:rPr>
          <w:noProof/>
        </w:rPr>
        <w:drawing>
          <wp:inline distT="0" distB="0" distL="0" distR="0" wp14:anchorId="69DCE665" wp14:editId="015788EC">
            <wp:extent cx="1428750" cy="581025"/>
            <wp:effectExtent l="0" t="0" r="0" b="0"/>
            <wp:docPr id="1" name="Picture 1" descr="hspmcolo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mcolo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581025"/>
                    </a:xfrm>
                    <a:prstGeom prst="rect">
                      <a:avLst/>
                    </a:prstGeom>
                    <a:noFill/>
                    <a:ln>
                      <a:noFill/>
                    </a:ln>
                  </pic:spPr>
                </pic:pic>
              </a:graphicData>
            </a:graphic>
          </wp:inline>
        </w:drawing>
      </w:r>
    </w:p>
    <w:p w14:paraId="067AB46A" w14:textId="77777777" w:rsidR="00335A82" w:rsidRPr="00B140B8" w:rsidRDefault="00335A82" w:rsidP="00335A82">
      <w:pPr>
        <w:rPr>
          <w:rFonts w:ascii="EngraversGothic BT" w:hAnsi="EngraversGothic BT"/>
          <w:sz w:val="16"/>
          <w:szCs w:val="16"/>
        </w:rPr>
      </w:pPr>
    </w:p>
    <w:p w14:paraId="2C67FD5B" w14:textId="77777777" w:rsidR="00335A82" w:rsidRPr="00B140B8" w:rsidRDefault="00335A82" w:rsidP="00335A82">
      <w:pPr>
        <w:rPr>
          <w:rFonts w:ascii="EngraversGothic BT" w:hAnsi="EngraversGothic BT"/>
          <w:sz w:val="18"/>
          <w:szCs w:val="18"/>
        </w:rPr>
      </w:pPr>
      <w:smartTag w:uri="urn:schemas-microsoft-com:office:smarttags" w:element="address">
        <w:smartTag w:uri="urn:schemas-microsoft-com:office:smarttags" w:element="Street">
          <w:r w:rsidRPr="00B140B8">
            <w:rPr>
              <w:rFonts w:ascii="EngraversGothic BT" w:hAnsi="EngraversGothic BT"/>
              <w:sz w:val="18"/>
              <w:szCs w:val="18"/>
            </w:rPr>
            <w:t>121 State Street</w:t>
          </w:r>
        </w:smartTag>
      </w:smartTag>
    </w:p>
    <w:p w14:paraId="2C6F6467" w14:textId="77777777" w:rsidR="00335A82" w:rsidRPr="00B140B8" w:rsidRDefault="00335A82" w:rsidP="00335A82">
      <w:pPr>
        <w:rPr>
          <w:rFonts w:ascii="EngraversGothic BT" w:hAnsi="EngraversGothic BT"/>
          <w:sz w:val="18"/>
          <w:szCs w:val="18"/>
        </w:rPr>
      </w:pPr>
      <w:smartTag w:uri="urn:schemas-microsoft-com:office:smarttags" w:element="place">
        <w:smartTag w:uri="urn:schemas-microsoft-com:office:smarttags" w:element="City">
          <w:r w:rsidRPr="00B140B8">
            <w:rPr>
              <w:rFonts w:ascii="EngraversGothic BT" w:hAnsi="EngraversGothic BT"/>
              <w:sz w:val="18"/>
              <w:szCs w:val="18"/>
            </w:rPr>
            <w:t>Albany</w:t>
          </w:r>
        </w:smartTag>
        <w:r w:rsidRPr="00B140B8">
          <w:rPr>
            <w:rFonts w:ascii="EngraversGothic BT" w:hAnsi="EngraversGothic BT"/>
            <w:sz w:val="18"/>
            <w:szCs w:val="18"/>
          </w:rPr>
          <w:t xml:space="preserve">, </w:t>
        </w:r>
        <w:smartTag w:uri="urn:schemas-microsoft-com:office:smarttags" w:element="State">
          <w:r w:rsidRPr="00B140B8">
            <w:rPr>
              <w:rFonts w:ascii="EngraversGothic BT" w:hAnsi="EngraversGothic BT"/>
              <w:sz w:val="18"/>
              <w:szCs w:val="18"/>
            </w:rPr>
            <w:t>New York</w:t>
          </w:r>
        </w:smartTag>
        <w:r w:rsidRPr="00B140B8">
          <w:rPr>
            <w:rFonts w:ascii="EngraversGothic BT" w:hAnsi="EngraversGothic BT"/>
            <w:sz w:val="18"/>
            <w:szCs w:val="18"/>
          </w:rPr>
          <w:t xml:space="preserve"> </w:t>
        </w:r>
        <w:smartTag w:uri="urn:schemas-microsoft-com:office:smarttags" w:element="PostalCode">
          <w:r w:rsidRPr="00B140B8">
            <w:rPr>
              <w:rFonts w:ascii="EngraversGothic BT" w:hAnsi="EngraversGothic BT"/>
              <w:sz w:val="18"/>
              <w:szCs w:val="18"/>
            </w:rPr>
            <w:t>12207-1693</w:t>
          </w:r>
        </w:smartTag>
      </w:smartTag>
    </w:p>
    <w:p w14:paraId="486B7CD0" w14:textId="77777777" w:rsidR="00335A82" w:rsidRPr="00B140B8" w:rsidRDefault="00335A82" w:rsidP="00335A82">
      <w:pPr>
        <w:rPr>
          <w:rFonts w:ascii="EngraversGothic BT" w:hAnsi="EngraversGothic BT"/>
          <w:sz w:val="18"/>
          <w:szCs w:val="18"/>
        </w:rPr>
      </w:pPr>
      <w:r w:rsidRPr="00B140B8">
        <w:rPr>
          <w:rFonts w:ascii="EngraversGothic BT" w:hAnsi="EngraversGothic BT"/>
          <w:sz w:val="18"/>
          <w:szCs w:val="18"/>
        </w:rPr>
        <w:t>Tel:  518-436-0751</w:t>
      </w:r>
    </w:p>
    <w:p w14:paraId="5EA016A5" w14:textId="77777777" w:rsidR="00335A82" w:rsidRPr="00B140B8" w:rsidRDefault="00335A82" w:rsidP="00335A82">
      <w:pPr>
        <w:rPr>
          <w:rFonts w:ascii="EngravrsRoman BT" w:hAnsi="EngravrsRoman BT"/>
          <w:sz w:val="18"/>
          <w:szCs w:val="18"/>
        </w:rPr>
      </w:pPr>
      <w:r w:rsidRPr="00B140B8">
        <w:rPr>
          <w:rFonts w:ascii="EngraversGothic BT" w:hAnsi="EngraversGothic BT"/>
          <w:sz w:val="18"/>
          <w:szCs w:val="18"/>
        </w:rPr>
        <w:t>Fax: 518-436-4751</w:t>
      </w:r>
    </w:p>
    <w:p w14:paraId="3E91A50A" w14:textId="77777777" w:rsidR="00335A82" w:rsidRDefault="00335A82" w:rsidP="00335A82"/>
    <w:p w14:paraId="74753617" w14:textId="26467B02" w:rsidR="00335A82" w:rsidRDefault="00763C81" w:rsidP="00335A82">
      <w:r>
        <w:fldChar w:fldCharType="begin"/>
      </w:r>
      <w:r>
        <w:instrText xml:space="preserve"> DATE  \@ "MMMM d, yyyy"  \* MERGEFORMAT </w:instrText>
      </w:r>
      <w:r>
        <w:fldChar w:fldCharType="separate"/>
      </w:r>
      <w:r w:rsidR="004E4E30">
        <w:rPr>
          <w:noProof/>
        </w:rPr>
        <w:t>March 21, 2024</w:t>
      </w:r>
      <w:r>
        <w:fldChar w:fldCharType="end"/>
      </w:r>
    </w:p>
    <w:p w14:paraId="4FA8F8CE" w14:textId="77777777" w:rsidR="00763C81" w:rsidRDefault="00763C81" w:rsidP="00335A82"/>
    <w:p w14:paraId="205DD8C5" w14:textId="77777777" w:rsidR="00763C81" w:rsidRDefault="00763C81" w:rsidP="00335A82"/>
    <w:p w14:paraId="082C774D" w14:textId="08D77512" w:rsidR="00AE70D7" w:rsidRDefault="00335A82" w:rsidP="00C53FA9">
      <w:pPr>
        <w:tabs>
          <w:tab w:val="left" w:pos="-1440"/>
        </w:tabs>
        <w:ind w:left="720" w:right="5130" w:hanging="720"/>
        <w:jc w:val="both"/>
      </w:pPr>
      <w:r>
        <w:t>RE:</w:t>
      </w:r>
      <w:r>
        <w:tab/>
        <w:t>AN</w:t>
      </w:r>
      <w:r w:rsidR="00AE70D7">
        <w:t xml:space="preserve"> </w:t>
      </w:r>
      <w:r>
        <w:t>ACT</w:t>
      </w:r>
      <w:r w:rsidR="00AE70D7">
        <w:t xml:space="preserve"> to amend the insurance law and the social services law, in relation to requiring certain insurance policies and Medicaid to allow patients a one hundred twenty-day window for additional breast exams when the provider deems another breast exam is needed</w:t>
      </w:r>
    </w:p>
    <w:p w14:paraId="51A8BE7A" w14:textId="2CE98A22" w:rsidR="00334703" w:rsidRDefault="00334703" w:rsidP="00334703">
      <w:pPr>
        <w:tabs>
          <w:tab w:val="left" w:pos="-1440"/>
        </w:tabs>
        <w:ind w:left="720" w:right="5310" w:hanging="720"/>
        <w:jc w:val="both"/>
      </w:pPr>
    </w:p>
    <w:p w14:paraId="3BDC22CA" w14:textId="72C3CDA5" w:rsidR="00763C81" w:rsidRDefault="00334703" w:rsidP="00763C81">
      <w:pPr>
        <w:jc w:val="center"/>
      </w:pPr>
      <w:r>
        <w:t>A.</w:t>
      </w:r>
      <w:r w:rsidR="00B04118">
        <w:t>1696</w:t>
      </w:r>
      <w:r>
        <w:t xml:space="preserve"> (</w:t>
      </w:r>
      <w:r w:rsidR="00AE70D7">
        <w:t>Hunter</w:t>
      </w:r>
      <w:r w:rsidR="00763C81">
        <w:t>)</w:t>
      </w:r>
    </w:p>
    <w:p w14:paraId="072F6B10" w14:textId="33A915BC" w:rsidR="00763C81" w:rsidRDefault="00334703" w:rsidP="00763C81">
      <w:pPr>
        <w:jc w:val="center"/>
      </w:pPr>
      <w:r>
        <w:t>S.</w:t>
      </w:r>
      <w:r w:rsidR="00B04118">
        <w:t>2465</w:t>
      </w:r>
      <w:r>
        <w:t xml:space="preserve"> (</w:t>
      </w:r>
      <w:r w:rsidR="00AE70D7">
        <w:t>Persaud</w:t>
      </w:r>
      <w:r w:rsidR="00763C81">
        <w:t>)</w:t>
      </w:r>
    </w:p>
    <w:p w14:paraId="412B09D2" w14:textId="77777777" w:rsidR="00763C81" w:rsidRDefault="00763C81" w:rsidP="00763C81"/>
    <w:p w14:paraId="2B24A24B" w14:textId="77777777" w:rsidR="00763C81" w:rsidRDefault="00763C81" w:rsidP="00763C81">
      <w:pPr>
        <w:jc w:val="center"/>
        <w:rPr>
          <w:b/>
          <w:u w:val="single"/>
        </w:rPr>
      </w:pPr>
      <w:r>
        <w:rPr>
          <w:b/>
          <w:u w:val="single"/>
        </w:rPr>
        <w:t>MEMORANDUM IN OPPOSITION</w:t>
      </w:r>
    </w:p>
    <w:p w14:paraId="3772EB64" w14:textId="77777777" w:rsidR="00763C81" w:rsidRDefault="00763C81" w:rsidP="00763C81"/>
    <w:p w14:paraId="4EBD347E" w14:textId="77777777" w:rsidR="00763C81" w:rsidRDefault="00763C81" w:rsidP="00763C81">
      <w:pPr>
        <w:jc w:val="center"/>
      </w:pPr>
      <w:r>
        <w:t>Submitted on behalf of the Blue Cross and Blue Shield Plans</w:t>
      </w:r>
    </w:p>
    <w:p w14:paraId="4B93A575" w14:textId="77777777" w:rsidR="00763C81" w:rsidRDefault="00763C81" w:rsidP="00763C81"/>
    <w:p w14:paraId="6A419689" w14:textId="784DAFA9" w:rsidR="00AE75A0" w:rsidRDefault="00763C81" w:rsidP="001C4276">
      <w:pPr>
        <w:jc w:val="both"/>
      </w:pPr>
      <w:r>
        <w:t xml:space="preserve">The New York State Conference of Blue Cross and Blue Shield Plans opposes enactment of this bill </w:t>
      </w:r>
      <w:r w:rsidR="00651257">
        <w:t>as</w:t>
      </w:r>
      <w:r>
        <w:t xml:space="preserve"> it is</w:t>
      </w:r>
      <w:r w:rsidR="00D10300">
        <w:t xml:space="preserve"> unsupported by national clinical guidelines and is</w:t>
      </w:r>
      <w:r>
        <w:t xml:space="preserve"> </w:t>
      </w:r>
      <w:r w:rsidR="00D10300">
        <w:t xml:space="preserve">inconsistent with </w:t>
      </w:r>
      <w:r w:rsidR="006E764B">
        <w:t>existing</w:t>
      </w:r>
      <w:r w:rsidR="00554397">
        <w:t xml:space="preserve"> state and</w:t>
      </w:r>
      <w:r w:rsidR="006E764B">
        <w:t xml:space="preserve"> </w:t>
      </w:r>
      <w:r w:rsidR="002D62CE">
        <w:t>federal requirements</w:t>
      </w:r>
      <w:r w:rsidR="002441BF">
        <w:t xml:space="preserve">.  </w:t>
      </w:r>
      <w:r w:rsidR="00CC0C99">
        <w:t xml:space="preserve">Specifically, this bill would </w:t>
      </w:r>
      <w:r w:rsidR="00BE0750">
        <w:t xml:space="preserve">amend </w:t>
      </w:r>
      <w:r w:rsidR="00D10300">
        <w:t xml:space="preserve">existing scientifically based breast cancer screening coverage requirements </w:t>
      </w:r>
      <w:r w:rsidR="00AC6147">
        <w:t xml:space="preserve">to </w:t>
      </w:r>
      <w:r w:rsidR="00BE0750">
        <w:t xml:space="preserve">also </w:t>
      </w:r>
      <w:r w:rsidR="00AC6147">
        <w:t>include add</w:t>
      </w:r>
      <w:r w:rsidR="00BE0750">
        <w:t xml:space="preserve">itional </w:t>
      </w:r>
      <w:r w:rsidR="00AC6147">
        <w:t>screenings: (1)</w:t>
      </w:r>
      <w:r w:rsidR="00BE0750">
        <w:t xml:space="preserve"> </w:t>
      </w:r>
      <w:r w:rsidR="00466651">
        <w:t xml:space="preserve">where </w:t>
      </w:r>
      <w:r w:rsidR="00D10300">
        <w:t xml:space="preserve">an individual </w:t>
      </w:r>
      <w:r w:rsidR="00466651">
        <w:t xml:space="preserve">provider assessed the risk and recommends an additional screening including a mammogram for an individual with a prior history of breast cancer, a first degree relative with a prior history of breast cancer, or an individual with </w:t>
      </w:r>
      <w:r w:rsidR="00AC6147">
        <w:t xml:space="preserve">dense breast tissue; and (2) within 120 days of a mammogram that showed abnormalities due to dense breast tissue or when “the provider deems another mammogram is needed.” </w:t>
      </w:r>
      <w:r w:rsidR="00084386">
        <w:t xml:space="preserve"> </w:t>
      </w:r>
      <w:r>
        <w:t>While the goal of the bill</w:t>
      </w:r>
      <w:r w:rsidR="00CE5F5C">
        <w:t xml:space="preserve"> –</w:t>
      </w:r>
      <w:r w:rsidR="00370B50">
        <w:t xml:space="preserve"> </w:t>
      </w:r>
      <w:r w:rsidR="00AC6147">
        <w:t>promoting early detection of breast cancer</w:t>
      </w:r>
      <w:r w:rsidR="00CE5F5C">
        <w:t xml:space="preserve"> –</w:t>
      </w:r>
      <w:r>
        <w:t xml:space="preserve"> is laudable, </w:t>
      </w:r>
      <w:r w:rsidR="00C53FA9">
        <w:t xml:space="preserve">the </w:t>
      </w:r>
      <w:r w:rsidR="00DA1475">
        <w:t xml:space="preserve">Affordable Care Act (“ACA”) </w:t>
      </w:r>
      <w:r w:rsidR="00084386">
        <w:t>established a</w:t>
      </w:r>
      <w:r w:rsidR="00D10300">
        <w:t xml:space="preserve"> scientifically based</w:t>
      </w:r>
      <w:r w:rsidR="00084386">
        <w:t xml:space="preserve"> process for determining coverage of preventive care and screenings recommended by independent medical experts who </w:t>
      </w:r>
      <w:r w:rsidR="00D10300">
        <w:t xml:space="preserve">specialize in developing such </w:t>
      </w:r>
      <w:r w:rsidR="00084386">
        <w:t>guidelines</w:t>
      </w:r>
      <w:r>
        <w:t>.</w:t>
      </w:r>
      <w:r w:rsidR="00234569">
        <w:t xml:space="preserve"> </w:t>
      </w:r>
      <w:r w:rsidR="00C53FA9">
        <w:t xml:space="preserve"> </w:t>
      </w:r>
      <w:r w:rsidR="00554397">
        <w:t xml:space="preserve">Additionally, New York </w:t>
      </w:r>
      <w:r w:rsidR="00651257">
        <w:t>law</w:t>
      </w:r>
      <w:r w:rsidR="00554397">
        <w:t xml:space="preserve"> </w:t>
      </w:r>
      <w:r w:rsidR="00CC0C99">
        <w:t>presently</w:t>
      </w:r>
      <w:r w:rsidR="00554397">
        <w:t xml:space="preserve"> requires coverage</w:t>
      </w:r>
      <w:r w:rsidR="00C53FA9">
        <w:t xml:space="preserve"> for breast cancer screenings</w:t>
      </w:r>
      <w:r w:rsidR="00554397">
        <w:t xml:space="preserve"> in accordance with federally accepted clinical </w:t>
      </w:r>
      <w:r w:rsidR="00C53FA9">
        <w:t>guidelines and</w:t>
      </w:r>
      <w:r w:rsidR="00554397">
        <w:t xml:space="preserve"> </w:t>
      </w:r>
      <w:r w:rsidR="00651257">
        <w:t>prohibits cost-sharing</w:t>
      </w:r>
      <w:r w:rsidR="00554397">
        <w:t xml:space="preserve"> for any covered sc</w:t>
      </w:r>
      <w:r w:rsidR="00554397" w:rsidRPr="00554397">
        <w:t xml:space="preserve">reening </w:t>
      </w:r>
      <w:r w:rsidR="00651257">
        <w:t>and</w:t>
      </w:r>
      <w:r w:rsidR="00554397" w:rsidRPr="00554397">
        <w:t xml:space="preserve"> diagnostic imaging for the detection of breast cancer</w:t>
      </w:r>
      <w:r w:rsidR="00554397">
        <w:t xml:space="preserve">. </w:t>
      </w:r>
    </w:p>
    <w:p w14:paraId="06E46B80" w14:textId="77777777" w:rsidR="00BB0B24" w:rsidRDefault="00BB0B24" w:rsidP="00CD73E5">
      <w:pPr>
        <w:jc w:val="both"/>
      </w:pPr>
    </w:p>
    <w:p w14:paraId="06C29E80" w14:textId="516E9EF7" w:rsidR="00DD5EED" w:rsidRDefault="00E62056" w:rsidP="00CD73E5">
      <w:pPr>
        <w:jc w:val="both"/>
      </w:pPr>
      <w:r>
        <w:t>Since 2010, the AC</w:t>
      </w:r>
      <w:r w:rsidR="00DA1475">
        <w:t>A</w:t>
      </w:r>
      <w:r>
        <w:t xml:space="preserve"> has required health plans to cover </w:t>
      </w:r>
      <w:r w:rsidR="00C53FA9">
        <w:t>preventive ca</w:t>
      </w:r>
      <w:r w:rsidR="002E2415">
        <w:t>r</w:t>
      </w:r>
      <w:r w:rsidR="00C53FA9">
        <w:t xml:space="preserve">e and screenings, including those with an “A” or “B” Rating from the </w:t>
      </w:r>
      <w:r w:rsidR="00234569" w:rsidRPr="00E62056">
        <w:t xml:space="preserve">United States Preventive Services Task Force </w:t>
      </w:r>
      <w:r w:rsidR="00234569" w:rsidRPr="00E62056">
        <w:lastRenderedPageBreak/>
        <w:t>(</w:t>
      </w:r>
      <w:r w:rsidR="00234569">
        <w:t>“</w:t>
      </w:r>
      <w:r w:rsidR="00234569" w:rsidRPr="00E62056">
        <w:t>USPSTF</w:t>
      </w:r>
      <w:r w:rsidR="00234569">
        <w:t>”</w:t>
      </w:r>
      <w:r w:rsidR="00234569" w:rsidRPr="00E62056">
        <w:t>)</w:t>
      </w:r>
      <w:r w:rsidR="00C53FA9">
        <w:t xml:space="preserve"> and, for women, additional screenings </w:t>
      </w:r>
      <w:r w:rsidR="00510527">
        <w:t xml:space="preserve">provided for in the comprehensive guidelines supported </w:t>
      </w:r>
      <w:r w:rsidR="00C53FA9">
        <w:t>by the Health and Resources and Services Administration</w:t>
      </w:r>
      <w:r w:rsidR="00510527">
        <w:t xml:space="preserve"> (“HRSA”)</w:t>
      </w:r>
      <w:r w:rsidR="00234569">
        <w:t xml:space="preserve">. </w:t>
      </w:r>
      <w:r w:rsidR="00C53FA9">
        <w:t xml:space="preserve"> </w:t>
      </w:r>
      <w:r w:rsidR="002D62CE">
        <w:t>The USPSTF</w:t>
      </w:r>
      <w:r w:rsidR="002D62CE" w:rsidRPr="002D62CE">
        <w:t xml:space="preserve"> </w:t>
      </w:r>
      <w:r w:rsidR="00510527" w:rsidRPr="00510527">
        <w:t>is an independent, volunteer panel of national experts in disease prevention and evidence-based medicine</w:t>
      </w:r>
      <w:r w:rsidR="00510527">
        <w:t xml:space="preserve">, working to improve health </w:t>
      </w:r>
      <w:r w:rsidR="00510527" w:rsidRPr="00510527">
        <w:t>of people nationwide by making evidence-based recommendations about clinical preventive services.</w:t>
      </w:r>
      <w:r w:rsidR="00510527" w:rsidRPr="00510527">
        <w:rPr>
          <w:rStyle w:val="FootnoteReference"/>
          <w:vertAlign w:val="superscript"/>
        </w:rPr>
        <w:footnoteReference w:id="1"/>
      </w:r>
      <w:r w:rsidR="00510527">
        <w:t xml:space="preserve"> </w:t>
      </w:r>
      <w:r w:rsidR="002D62CE">
        <w:t xml:space="preserve"> </w:t>
      </w:r>
      <w:r w:rsidR="00F4152B">
        <w:t>HRSA is an agency of the U.S. Department of Health and Human Services, tasked administering programs to provide equitable health care in the nation’s highest-need communities.</w:t>
      </w:r>
      <w:r w:rsidR="00F4152B" w:rsidRPr="00F4152B">
        <w:rPr>
          <w:rStyle w:val="FootnoteReference"/>
          <w:vertAlign w:val="superscript"/>
        </w:rPr>
        <w:footnoteReference w:id="2"/>
      </w:r>
      <w:r w:rsidR="00F4152B">
        <w:t xml:space="preserve">  </w:t>
      </w:r>
      <w:r w:rsidR="00DA1475">
        <w:t>Pursuant to the ACA</w:t>
      </w:r>
      <w:r w:rsidR="00C53FA9">
        <w:t xml:space="preserve"> (</w:t>
      </w:r>
      <w:r w:rsidR="00084386">
        <w:t xml:space="preserve">which has been incorporated into New York </w:t>
      </w:r>
      <w:r w:rsidR="00C53FA9">
        <w:t>law)</w:t>
      </w:r>
      <w:r w:rsidR="00DA1475">
        <w:t xml:space="preserve">, </w:t>
      </w:r>
      <w:r w:rsidR="00C53FA9">
        <w:t>health plans</w:t>
      </w:r>
      <w:r w:rsidR="00DA1475">
        <w:t xml:space="preserve"> must cover</w:t>
      </w:r>
      <w:r w:rsidR="00C53FA9">
        <w:t xml:space="preserve"> preventive care services recommended by the USPSTF</w:t>
      </w:r>
      <w:r w:rsidR="00F4152B">
        <w:t xml:space="preserve"> and HRSA</w:t>
      </w:r>
      <w:r w:rsidR="00144CE6" w:rsidRPr="00E62056">
        <w:t>.</w:t>
      </w:r>
      <w:r w:rsidR="00144CE6" w:rsidRPr="002D62CE">
        <w:rPr>
          <w:rStyle w:val="FootnoteReference"/>
          <w:vertAlign w:val="superscript"/>
        </w:rPr>
        <w:footnoteReference w:id="3"/>
      </w:r>
      <w:r w:rsidR="00144CE6">
        <w:t xml:space="preserve"> </w:t>
      </w:r>
      <w:r w:rsidR="00CB228B">
        <w:t xml:space="preserve"> These two organizations both have recommendations regarding screening for breast cancer, which is covered without cost-sharing as </w:t>
      </w:r>
      <w:r w:rsidR="00651257">
        <w:t xml:space="preserve">a </w:t>
      </w:r>
      <w:r w:rsidR="00CB228B">
        <w:t xml:space="preserve">preventive </w:t>
      </w:r>
      <w:r w:rsidR="00651257">
        <w:t>service</w:t>
      </w:r>
      <w:r w:rsidR="00CB228B">
        <w:t xml:space="preserve">.  </w:t>
      </w:r>
    </w:p>
    <w:p w14:paraId="100E7A17" w14:textId="77777777" w:rsidR="00DD5EED" w:rsidRDefault="00DD5EED" w:rsidP="00CD73E5">
      <w:pPr>
        <w:jc w:val="both"/>
      </w:pPr>
    </w:p>
    <w:p w14:paraId="70761466" w14:textId="1BD558B4" w:rsidR="00AE75A0" w:rsidRDefault="00084386" w:rsidP="00CD73E5">
      <w:pPr>
        <w:jc w:val="both"/>
      </w:pPr>
      <w:r>
        <w:t xml:space="preserve">Neither </w:t>
      </w:r>
      <w:r w:rsidR="00DD5EED">
        <w:t xml:space="preserve">the USPSTF nor HRSA </w:t>
      </w:r>
      <w:r>
        <w:t>currently recommend the additional breast cancer screenings required by this bill.  Regarding additional screening due dense breast tissue, the</w:t>
      </w:r>
      <w:r w:rsidRPr="00554397">
        <w:t xml:space="preserve"> U</w:t>
      </w:r>
      <w:r>
        <w:t>SPSTF concluded that</w:t>
      </w:r>
      <w:r w:rsidRPr="00554397">
        <w:t xml:space="preserve"> </w:t>
      </w:r>
      <w:r>
        <w:t xml:space="preserve">“current </w:t>
      </w:r>
      <w:r w:rsidRPr="00554397">
        <w:t xml:space="preserve">evidence is insufficient to assess the balance of benefits and harms of adjunctive screening for breast cancer using breast ultrasonography, magnetic resonance imaging, </w:t>
      </w:r>
      <w:r>
        <w:t>DBT [dense breast tomosynthesis]</w:t>
      </w:r>
      <w:r w:rsidRPr="00554397">
        <w:t>, or other methods in women identified to have dense breasts on an otherwise negative screening mammogram.</w:t>
      </w:r>
      <w:r>
        <w:t>”</w:t>
      </w:r>
      <w:r w:rsidRPr="00554397">
        <w:rPr>
          <w:rStyle w:val="FootnoteReference"/>
          <w:vertAlign w:val="superscript"/>
        </w:rPr>
        <w:footnoteReference w:id="4"/>
      </w:r>
      <w:r>
        <w:t xml:space="preserve">  </w:t>
      </w:r>
      <w:r w:rsidR="004B7A46">
        <w:t xml:space="preserve">The American College of Obstetricians and Gynecologists </w:t>
      </w:r>
      <w:r w:rsidR="00DD5EED">
        <w:t xml:space="preserve">(“ACOG”) </w:t>
      </w:r>
      <w:r w:rsidR="004B7A46">
        <w:t>stated that, “[w]</w:t>
      </w:r>
      <w:r w:rsidR="004B7A46" w:rsidRPr="005F14F8">
        <w:t>omen with dense breasts have a modestly increased risk of breast cancer and experience reduced sensitivity of mammography to detect breast cancer.</w:t>
      </w:r>
      <w:r w:rsidR="004B7A46">
        <w:t xml:space="preserve"> </w:t>
      </w:r>
      <w:r w:rsidR="004B7A46" w:rsidRPr="005F14F8">
        <w:t xml:space="preserve"> However, evidence is lacking to advocate for additional testing until there are clinically validated data that indicate improved screening outcomes</w:t>
      </w:r>
      <w:r w:rsidR="004B7A46">
        <w:t>….</w:t>
      </w:r>
      <w:r w:rsidR="004B7A46" w:rsidRPr="005F14F8">
        <w:t>The American College of Obstetricians and Gynecologists does not recommend routine use of alternative or adjunctive tests to screening mammography in women with dense breasts who are asymptomatic and have no additional risk factors.</w:t>
      </w:r>
      <w:r w:rsidR="004B7A46">
        <w:t>”</w:t>
      </w:r>
      <w:r w:rsidR="004B7A46" w:rsidRPr="00CB7854">
        <w:rPr>
          <w:rStyle w:val="FootnoteReference"/>
          <w:sz w:val="22"/>
          <w:szCs w:val="22"/>
          <w:vertAlign w:val="superscript"/>
        </w:rPr>
        <w:footnoteReference w:id="5"/>
      </w:r>
      <w:r w:rsidR="004B7A46">
        <w:t xml:space="preserve">  </w:t>
      </w:r>
      <w:r w:rsidR="005615BE">
        <w:t>To change the law to require coverage of screenings not currently recommended by USPSTF</w:t>
      </w:r>
      <w:r w:rsidR="00DD5EED">
        <w:t xml:space="preserve">, HRSA, or other organizations like ACOG, </w:t>
      </w:r>
      <w:r w:rsidR="005615BE">
        <w:t xml:space="preserve">disregards these organizations’ expertise in reviewing the medical evidence and making clinically-appropriate </w:t>
      </w:r>
      <w:r w:rsidR="00DD5EED">
        <w:t xml:space="preserve">preventive care </w:t>
      </w:r>
      <w:r w:rsidR="005615BE">
        <w:t>recommendations.</w:t>
      </w:r>
    </w:p>
    <w:p w14:paraId="2B840193" w14:textId="77777777" w:rsidR="00084386" w:rsidRDefault="00084386" w:rsidP="00E62056">
      <w:pPr>
        <w:jc w:val="both"/>
      </w:pPr>
    </w:p>
    <w:p w14:paraId="0E7E2C92" w14:textId="600D74F3" w:rsidR="00554397" w:rsidRDefault="00CD73E5" w:rsidP="00E62056">
      <w:pPr>
        <w:jc w:val="both"/>
      </w:pPr>
      <w:r>
        <w:t xml:space="preserve">Moreover, this bill appears to be </w:t>
      </w:r>
      <w:r w:rsidR="004B7A46">
        <w:t>attempting to address</w:t>
      </w:r>
      <w:r>
        <w:t xml:space="preserve"> a perceived lack of coverage for follow-up testing </w:t>
      </w:r>
      <w:r w:rsidR="00466651">
        <w:t>after</w:t>
      </w:r>
      <w:r>
        <w:t xml:space="preserve"> an abnormal mammogram.  </w:t>
      </w:r>
      <w:r w:rsidR="00E03F51">
        <w:t xml:space="preserve">Following an abnormal mammogram, the individual may need a diagnostic mammogram, ultrasound, a breast magnetic resonance imaging (“MRI”), </w:t>
      </w:r>
      <w:r w:rsidR="00651257">
        <w:t>and</w:t>
      </w:r>
      <w:r w:rsidR="00E03F51">
        <w:t xml:space="preserve"> ultimately</w:t>
      </w:r>
      <w:r w:rsidR="00DD5EED">
        <w:t>,</w:t>
      </w:r>
      <w:r w:rsidR="00E03F51">
        <w:t xml:space="preserve"> a breast biopsy.</w:t>
      </w:r>
      <w:r w:rsidR="00E03F51" w:rsidRPr="00167360">
        <w:rPr>
          <w:rStyle w:val="FootnoteReference"/>
          <w:vertAlign w:val="superscript"/>
        </w:rPr>
        <w:footnoteReference w:id="6"/>
      </w:r>
      <w:r w:rsidR="00E03F51">
        <w:t xml:space="preserve">  </w:t>
      </w:r>
      <w:r>
        <w:t xml:space="preserve">Comprehensive health insurance </w:t>
      </w:r>
      <w:r w:rsidR="00DD5EED">
        <w:t xml:space="preserve">already </w:t>
      </w:r>
      <w:r>
        <w:t xml:space="preserve">covers a wide range of </w:t>
      </w:r>
      <w:r>
        <w:lastRenderedPageBreak/>
        <w:t>diagnostic radiology and testing</w:t>
      </w:r>
      <w:r w:rsidR="004B7A46">
        <w:t>.  F</w:t>
      </w:r>
      <w:r>
        <w:t>or diagnostic imaging for the detection of breast cancer –</w:t>
      </w:r>
      <w:r w:rsidR="005615BE">
        <w:t xml:space="preserve"> </w:t>
      </w:r>
      <w:r w:rsidR="00466651">
        <w:t xml:space="preserve">meaning </w:t>
      </w:r>
      <w:r>
        <w:t xml:space="preserve">mammograms, breast ultrasounds, and magnetic resonance imaging – those imaging services are covered at </w:t>
      </w:r>
      <w:r w:rsidRPr="00651257">
        <w:rPr>
          <w:u w:val="single"/>
        </w:rPr>
        <w:t xml:space="preserve">no cost to the </w:t>
      </w:r>
      <w:r w:rsidR="004B7A46" w:rsidRPr="00651257">
        <w:rPr>
          <w:u w:val="single"/>
        </w:rPr>
        <w:t>enrollee</w:t>
      </w:r>
      <w:r w:rsidR="00DD5EED">
        <w:t xml:space="preserve"> under current state law</w:t>
      </w:r>
      <w:r>
        <w:t>.</w:t>
      </w:r>
      <w:r w:rsidRPr="00167360">
        <w:rPr>
          <w:rStyle w:val="FootnoteReference"/>
          <w:vertAlign w:val="superscript"/>
        </w:rPr>
        <w:footnoteReference w:id="7"/>
      </w:r>
      <w:r w:rsidR="00E03F51">
        <w:t xml:space="preserve">  </w:t>
      </w:r>
    </w:p>
    <w:p w14:paraId="621FCF4D" w14:textId="77777777" w:rsidR="00466651" w:rsidRDefault="00466651" w:rsidP="00466651">
      <w:pPr>
        <w:jc w:val="both"/>
      </w:pPr>
    </w:p>
    <w:p w14:paraId="68162876" w14:textId="450F56BF" w:rsidR="004B7A46" w:rsidRPr="004B7A46" w:rsidRDefault="004B7A46" w:rsidP="004B7A46">
      <w:pPr>
        <w:jc w:val="both"/>
      </w:pPr>
      <w:r w:rsidRPr="004B7A46">
        <w:t xml:space="preserve">As this bill would expand the scope of benefits required by law by adding coverage for additional screenings that are not currently recommend by the USPSTF or HRSA, this legislation would create an unfunded mandate not just for commercial health insurance, but on the entire State.  Under the ACA, the State must defray the full cost of any State mandates that are in addition to </w:t>
      </w:r>
      <w:r w:rsidR="00651257">
        <w:t>essential health benefits</w:t>
      </w:r>
      <w:r w:rsidRPr="004B7A46">
        <w:t xml:space="preserve"> for all individual and small group health insurance coverage,</w:t>
      </w:r>
      <w:r w:rsidRPr="004B7A46">
        <w:rPr>
          <w:vertAlign w:val="superscript"/>
        </w:rPr>
        <w:footnoteReference w:id="8"/>
      </w:r>
      <w:r w:rsidRPr="004B7A46">
        <w:t xml:space="preserve"> meaning the cost of this additional benefit for those markets would be entirely funded by New York taxpayer dollars.  </w:t>
      </w:r>
    </w:p>
    <w:p w14:paraId="19C220B5" w14:textId="77777777" w:rsidR="00466651" w:rsidRPr="00561FBA" w:rsidRDefault="00466651" w:rsidP="00E62056">
      <w:pPr>
        <w:jc w:val="both"/>
      </w:pPr>
    </w:p>
    <w:p w14:paraId="23412E07" w14:textId="77777777" w:rsidR="00BB0B24" w:rsidRPr="00F22132" w:rsidRDefault="00BB0B24" w:rsidP="00BB0B24">
      <w:pPr>
        <w:jc w:val="both"/>
      </w:pPr>
      <w:r w:rsidRPr="00F22132">
        <w:t xml:space="preserve">For the foregoing reasons, the </w:t>
      </w:r>
      <w:r>
        <w:t xml:space="preserve">New York State Conference of </w:t>
      </w:r>
      <w:r w:rsidRPr="00F22132">
        <w:t xml:space="preserve">Blue Cross and Blue Shield Plans opposes this </w:t>
      </w:r>
      <w:r>
        <w:t>b</w:t>
      </w:r>
      <w:r w:rsidRPr="00F22132">
        <w:t>ill and urges that it not be enacted.</w:t>
      </w:r>
    </w:p>
    <w:p w14:paraId="39A45460" w14:textId="77777777" w:rsidR="00335A82" w:rsidRDefault="00335A82" w:rsidP="00335A82">
      <w:pPr>
        <w:ind w:right="-5760"/>
      </w:pPr>
    </w:p>
    <w:p w14:paraId="7045BC5E" w14:textId="77777777" w:rsidR="00335A82" w:rsidRDefault="00335A82" w:rsidP="00335A82">
      <w:pPr>
        <w:ind w:right="-5760"/>
      </w:pPr>
      <w:r>
        <w:t>Respectfully submitted,</w:t>
      </w:r>
    </w:p>
    <w:p w14:paraId="3E5845A7" w14:textId="77777777" w:rsidR="00335A82" w:rsidRDefault="00335A82" w:rsidP="00335A82">
      <w:pPr>
        <w:ind w:right="-5760"/>
      </w:pPr>
    </w:p>
    <w:p w14:paraId="5B74F9E6" w14:textId="77777777" w:rsidR="00335A82" w:rsidRDefault="00335A82" w:rsidP="00335A82">
      <w:pPr>
        <w:ind w:right="-5760"/>
      </w:pPr>
    </w:p>
    <w:p w14:paraId="31A3CB6A" w14:textId="77777777" w:rsidR="00335A82" w:rsidRDefault="00335A82" w:rsidP="00335A82">
      <w:pPr>
        <w:ind w:right="-5760"/>
      </w:pPr>
      <w:r>
        <w:t>HINMAN STRAUB ADVISORS, LLC</w:t>
      </w:r>
    </w:p>
    <w:p w14:paraId="73BF79B2" w14:textId="77777777" w:rsidR="00335A82" w:rsidRDefault="00335A82" w:rsidP="00335A82">
      <w:pPr>
        <w:ind w:right="-5760"/>
      </w:pPr>
      <w:r>
        <w:t>Legislative Counsel for the Blue Cross and Blue Shield Plans</w:t>
      </w:r>
    </w:p>
    <w:p w14:paraId="13AC99DA" w14:textId="77777777" w:rsidR="00E5274D" w:rsidRDefault="00E5274D" w:rsidP="006C7AB1">
      <w:pPr>
        <w:ind w:right="-5760"/>
        <w:rPr>
          <w:sz w:val="16"/>
        </w:rPr>
      </w:pPr>
    </w:p>
    <w:p w14:paraId="5F970128" w14:textId="77777777" w:rsidR="00F379C4" w:rsidRDefault="00F379C4" w:rsidP="006C7AB1">
      <w:pPr>
        <w:ind w:right="-5760"/>
        <w:rPr>
          <w:sz w:val="16"/>
        </w:rPr>
      </w:pPr>
    </w:p>
    <w:p w14:paraId="3F1447E1" w14:textId="77777777" w:rsidR="009469B1" w:rsidRDefault="009469B1" w:rsidP="006C7AB1">
      <w:pPr>
        <w:ind w:right="-5760"/>
        <w:rPr>
          <w:sz w:val="16"/>
        </w:rPr>
      </w:pPr>
    </w:p>
    <w:p w14:paraId="08164F3E" w14:textId="77777777" w:rsidR="009469B1" w:rsidRDefault="009469B1" w:rsidP="006C7AB1">
      <w:pPr>
        <w:ind w:right="-5760"/>
        <w:rPr>
          <w:sz w:val="16"/>
        </w:rPr>
      </w:pPr>
    </w:p>
    <w:p w14:paraId="5AEAC275" w14:textId="77777777" w:rsidR="0076109B" w:rsidRDefault="0076109B" w:rsidP="006C7AB1">
      <w:pPr>
        <w:ind w:right="-5760"/>
        <w:rPr>
          <w:sz w:val="16"/>
        </w:rPr>
      </w:pPr>
    </w:p>
    <w:p w14:paraId="7B32E089" w14:textId="6F35F629" w:rsidR="00A61775" w:rsidRPr="009469B1" w:rsidRDefault="00A61775" w:rsidP="00A61775">
      <w:pPr>
        <w:spacing w:line="180" w:lineRule="exact"/>
        <w:ind w:right="-5760"/>
        <w:rPr>
          <w:sz w:val="16"/>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604C9">
        <w:rPr>
          <w:rFonts w:ascii="Arial" w:hAnsi="Arial" w:cs="Arial"/>
          <w:sz w:val="16"/>
        </w:rPr>
        <w:t>4891-1740-8163, v. 1</w:t>
      </w:r>
      <w:r>
        <w:rPr>
          <w:rFonts w:ascii="Arial" w:hAnsi="Arial" w:cs="Arial"/>
          <w:sz w:val="16"/>
        </w:rPr>
        <w:fldChar w:fldCharType="end"/>
      </w:r>
    </w:p>
    <w:sectPr w:rsidR="00A61775" w:rsidRPr="009469B1" w:rsidSect="00965DD9">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1440" w:footer="1354" w:gutter="0"/>
      <w:paperSrc w:first="259" w:other="26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FA994" w14:textId="77777777" w:rsidR="00965DD9" w:rsidRDefault="00965DD9">
      <w:r>
        <w:separator/>
      </w:r>
    </w:p>
  </w:endnote>
  <w:endnote w:type="continuationSeparator" w:id="0">
    <w:p w14:paraId="0A45FB32" w14:textId="77777777" w:rsidR="00965DD9" w:rsidRDefault="00965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ngraversGothic BT">
    <w:panose1 w:val="020B0507020203020204"/>
    <w:charset w:val="00"/>
    <w:family w:val="swiss"/>
    <w:pitch w:val="variable"/>
    <w:sig w:usb0="00000087" w:usb1="00000000" w:usb2="00000000" w:usb3="00000000" w:csb0="0000001B" w:csb1="00000000"/>
  </w:font>
  <w:font w:name="EngravrsRoman BT">
    <w:altName w:val="Century"/>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B062" w14:textId="77777777" w:rsidR="00597448" w:rsidRDefault="00597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2BC0" w14:textId="77777777" w:rsidR="004136FF" w:rsidRDefault="004136FF">
    <w:pPr>
      <w:spacing w:line="240" w:lineRule="exact"/>
    </w:pPr>
  </w:p>
  <w:p w14:paraId="5A162736" w14:textId="77777777" w:rsidR="004136FF" w:rsidRPr="007A74BF" w:rsidRDefault="004136FF">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3FFD" w14:textId="77777777" w:rsidR="00597448" w:rsidRDefault="00597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5B81C" w14:textId="77777777" w:rsidR="00965DD9" w:rsidRDefault="00965DD9">
      <w:r>
        <w:separator/>
      </w:r>
    </w:p>
  </w:footnote>
  <w:footnote w:type="continuationSeparator" w:id="0">
    <w:p w14:paraId="1AB654C6" w14:textId="77777777" w:rsidR="00965DD9" w:rsidRDefault="00965DD9">
      <w:r>
        <w:continuationSeparator/>
      </w:r>
    </w:p>
  </w:footnote>
  <w:footnote w:id="1">
    <w:p w14:paraId="47C1956C" w14:textId="492D208D" w:rsidR="00510527" w:rsidRPr="00510527" w:rsidRDefault="00510527">
      <w:pPr>
        <w:pStyle w:val="FootnoteText"/>
        <w:rPr>
          <w:lang w:val="en-US"/>
        </w:rPr>
      </w:pPr>
      <w:r w:rsidRPr="00510527">
        <w:rPr>
          <w:rStyle w:val="FootnoteReference"/>
          <w:vertAlign w:val="superscript"/>
        </w:rPr>
        <w:footnoteRef/>
      </w:r>
      <w:r w:rsidRPr="00510527">
        <w:t xml:space="preserve"> </w:t>
      </w:r>
      <w:r w:rsidR="00B51FAD">
        <w:rPr>
          <w:lang w:val="en-US"/>
        </w:rPr>
        <w:t>U.S. Preventive</w:t>
      </w:r>
      <w:r w:rsidRPr="00510527">
        <w:rPr>
          <w:lang w:val="en-US"/>
        </w:rPr>
        <w:t xml:space="preserve"> Services Task Force, </w:t>
      </w:r>
      <w:r w:rsidRPr="00B51FAD">
        <w:rPr>
          <w:i/>
          <w:iCs/>
          <w:lang w:val="en-US"/>
        </w:rPr>
        <w:t>About the USPSTF</w:t>
      </w:r>
      <w:r w:rsidRPr="00510527">
        <w:rPr>
          <w:lang w:val="en-US"/>
        </w:rPr>
        <w:t xml:space="preserve">, </w:t>
      </w:r>
      <w:r w:rsidRPr="00B51FAD">
        <w:rPr>
          <w:i/>
          <w:iCs/>
          <w:lang w:val="en-US"/>
        </w:rPr>
        <w:t>available at</w:t>
      </w:r>
      <w:r w:rsidRPr="00510527">
        <w:rPr>
          <w:lang w:val="en-US"/>
        </w:rPr>
        <w:t xml:space="preserve"> https://www.uspreventiveservicestaskforce.org/uspstf/.</w:t>
      </w:r>
    </w:p>
  </w:footnote>
  <w:footnote w:id="2">
    <w:p w14:paraId="4D76CC72" w14:textId="17E026DB" w:rsidR="00F4152B" w:rsidRPr="00F4152B" w:rsidRDefault="00F4152B">
      <w:pPr>
        <w:pStyle w:val="FootnoteText"/>
        <w:rPr>
          <w:lang w:val="en-US"/>
        </w:rPr>
      </w:pPr>
      <w:r w:rsidRPr="00F4152B">
        <w:rPr>
          <w:rStyle w:val="FootnoteReference"/>
          <w:vertAlign w:val="superscript"/>
        </w:rPr>
        <w:footnoteRef/>
      </w:r>
      <w:r w:rsidRPr="00F4152B">
        <w:rPr>
          <w:vertAlign w:val="superscript"/>
        </w:rPr>
        <w:t xml:space="preserve"> </w:t>
      </w:r>
      <w:r>
        <w:rPr>
          <w:lang w:val="en-US"/>
        </w:rPr>
        <w:t xml:space="preserve">Health Resources &amp; Services Administration, </w:t>
      </w:r>
      <w:r w:rsidRPr="00F4152B">
        <w:rPr>
          <w:i/>
          <w:iCs/>
          <w:lang w:val="en-US"/>
        </w:rPr>
        <w:t>About HRSA</w:t>
      </w:r>
      <w:r>
        <w:rPr>
          <w:lang w:val="en-US"/>
        </w:rPr>
        <w:t xml:space="preserve">, </w:t>
      </w:r>
      <w:r w:rsidRPr="00F4152B">
        <w:rPr>
          <w:i/>
          <w:iCs/>
          <w:lang w:val="en-US"/>
        </w:rPr>
        <w:t>available at</w:t>
      </w:r>
      <w:r>
        <w:rPr>
          <w:lang w:val="en-US"/>
        </w:rPr>
        <w:t xml:space="preserve"> </w:t>
      </w:r>
      <w:r w:rsidRPr="00F4152B">
        <w:rPr>
          <w:lang w:val="en-US"/>
        </w:rPr>
        <w:t>https://www.hrsa.gov/about</w:t>
      </w:r>
      <w:r>
        <w:rPr>
          <w:lang w:val="en-US"/>
        </w:rPr>
        <w:t>.</w:t>
      </w:r>
    </w:p>
  </w:footnote>
  <w:footnote w:id="3">
    <w:p w14:paraId="182D8398" w14:textId="78BC9E73" w:rsidR="00144CE6" w:rsidRPr="00510527" w:rsidRDefault="00144CE6" w:rsidP="00144CE6">
      <w:pPr>
        <w:pStyle w:val="FootnoteText"/>
        <w:rPr>
          <w:lang w:val="en-US"/>
        </w:rPr>
      </w:pPr>
      <w:r w:rsidRPr="00510527">
        <w:rPr>
          <w:rStyle w:val="FootnoteReference"/>
          <w:vertAlign w:val="superscript"/>
        </w:rPr>
        <w:footnoteRef/>
      </w:r>
      <w:r w:rsidRPr="00510527">
        <w:t xml:space="preserve"> </w:t>
      </w:r>
      <w:r w:rsidR="00F4152B">
        <w:rPr>
          <w:lang w:val="en-US"/>
        </w:rPr>
        <w:t xml:space="preserve">42 U.S.C. § 300gg-13; 45 C.F.R. § 147.130; and N.Y. Insurance Law §§ </w:t>
      </w:r>
      <w:r w:rsidR="00D62CBF">
        <w:rPr>
          <w:lang w:val="en-US"/>
        </w:rPr>
        <w:t>3216(</w:t>
      </w:r>
      <w:proofErr w:type="spellStart"/>
      <w:r w:rsidR="00D62CBF">
        <w:rPr>
          <w:lang w:val="en-US"/>
        </w:rPr>
        <w:t>i</w:t>
      </w:r>
      <w:proofErr w:type="spellEnd"/>
      <w:r w:rsidR="00D62CBF">
        <w:rPr>
          <w:lang w:val="en-US"/>
        </w:rPr>
        <w:t>)(17)(E), 3221(l)(8)(E), and 4303(j)(3).</w:t>
      </w:r>
    </w:p>
  </w:footnote>
  <w:footnote w:id="4">
    <w:p w14:paraId="2FEFB506" w14:textId="77777777" w:rsidR="00084386" w:rsidRPr="00B22CA5" w:rsidRDefault="00084386" w:rsidP="00084386">
      <w:pPr>
        <w:pStyle w:val="FootnoteText"/>
        <w:rPr>
          <w:lang w:val="en-US"/>
        </w:rPr>
      </w:pPr>
      <w:r w:rsidRPr="00B22CA5">
        <w:rPr>
          <w:rStyle w:val="FootnoteReference"/>
          <w:vertAlign w:val="superscript"/>
        </w:rPr>
        <w:footnoteRef/>
      </w:r>
      <w:r w:rsidRPr="00B22CA5">
        <w:t xml:space="preserve"> </w:t>
      </w:r>
      <w:r w:rsidRPr="00B22CA5">
        <w:rPr>
          <w:lang w:val="en-US"/>
        </w:rPr>
        <w:t xml:space="preserve">U.S. </w:t>
      </w:r>
      <w:r>
        <w:rPr>
          <w:lang w:val="en-US"/>
        </w:rPr>
        <w:t>Preventive</w:t>
      </w:r>
      <w:r w:rsidRPr="00B22CA5">
        <w:rPr>
          <w:lang w:val="en-US"/>
        </w:rPr>
        <w:t xml:space="preserve"> Services Task Force, “Final Recommendation Statement - Breast Cancer: Screening,” Jan. 1, 2016, </w:t>
      </w:r>
      <w:r w:rsidRPr="00B22CA5">
        <w:rPr>
          <w:i/>
          <w:lang w:val="en-US"/>
        </w:rPr>
        <w:t>available at</w:t>
      </w:r>
      <w:r w:rsidRPr="00B22CA5">
        <w:rPr>
          <w:lang w:val="en-US"/>
        </w:rPr>
        <w:t xml:space="preserve"> https://www.uspreventiveservicestaskforce.org/uspstf/recommendation/breast-cancer-screening. </w:t>
      </w:r>
    </w:p>
  </w:footnote>
  <w:footnote w:id="5">
    <w:p w14:paraId="16AD6A0B" w14:textId="77777777" w:rsidR="004B7A46" w:rsidRPr="00B22CA5" w:rsidRDefault="004B7A46" w:rsidP="004B7A46">
      <w:pPr>
        <w:pStyle w:val="FootnoteText"/>
        <w:rPr>
          <w:lang w:val="en-US"/>
        </w:rPr>
      </w:pPr>
      <w:r w:rsidRPr="00B22CA5">
        <w:rPr>
          <w:rStyle w:val="FootnoteReference"/>
          <w:vertAlign w:val="superscript"/>
        </w:rPr>
        <w:footnoteRef/>
      </w:r>
      <w:r w:rsidRPr="00B22CA5">
        <w:t xml:space="preserve"> </w:t>
      </w:r>
      <w:r w:rsidRPr="00B22CA5">
        <w:t>The American College of Obstetricians and Gynecologists</w:t>
      </w:r>
      <w:r w:rsidRPr="00B22CA5">
        <w:rPr>
          <w:lang w:val="en-US"/>
        </w:rPr>
        <w:t xml:space="preserve">, “Management of Women With Dense Breasts Diagnosed by Mammography: Committee Opinion Number 265,” Reaffirmed in 2024, </w:t>
      </w:r>
      <w:r w:rsidRPr="00B22CA5">
        <w:rPr>
          <w:i/>
          <w:iCs/>
          <w:lang w:val="en-US"/>
        </w:rPr>
        <w:t xml:space="preserve">available at </w:t>
      </w:r>
      <w:r w:rsidRPr="00B22CA5">
        <w:rPr>
          <w:lang w:val="en-US"/>
        </w:rPr>
        <w:t>https://www.acog.org/clinical/clinical-guidance/committee-opinion/articles/2015/03/management-of-women-with-dense-breasts-diagnosed-by-mammography.</w:t>
      </w:r>
    </w:p>
  </w:footnote>
  <w:footnote w:id="6">
    <w:p w14:paraId="5507BF4B" w14:textId="451D7903" w:rsidR="00E03F51" w:rsidRPr="00E03F51" w:rsidRDefault="00E03F51">
      <w:pPr>
        <w:pStyle w:val="FootnoteText"/>
        <w:rPr>
          <w:lang w:val="en-US"/>
        </w:rPr>
      </w:pPr>
      <w:r w:rsidRPr="00DD5EED">
        <w:rPr>
          <w:rStyle w:val="FootnoteReference"/>
          <w:vertAlign w:val="superscript"/>
        </w:rPr>
        <w:footnoteRef/>
      </w:r>
      <w:r>
        <w:t xml:space="preserve"> </w:t>
      </w:r>
      <w:r w:rsidR="00F343C8">
        <w:rPr>
          <w:lang w:val="en-US"/>
        </w:rPr>
        <w:t xml:space="preserve">The </w:t>
      </w:r>
      <w:r>
        <w:rPr>
          <w:lang w:val="en-US"/>
        </w:rPr>
        <w:t>Susan G. Komen</w:t>
      </w:r>
      <w:r w:rsidR="00F343C8">
        <w:rPr>
          <w:lang w:val="en-US"/>
        </w:rPr>
        <w:t xml:space="preserve"> Breast Cancer Foundation</w:t>
      </w:r>
      <w:r>
        <w:rPr>
          <w:lang w:val="en-US"/>
        </w:rPr>
        <w:t xml:space="preserve">, </w:t>
      </w:r>
      <w:r w:rsidRPr="00E03F51">
        <w:rPr>
          <w:i/>
          <w:iCs/>
          <w:lang w:val="en-US"/>
        </w:rPr>
        <w:t>Follow-Up After an Abnormal Mammogram</w:t>
      </w:r>
      <w:r w:rsidRPr="00B51FAD">
        <w:rPr>
          <w:lang w:val="en-US"/>
        </w:rPr>
        <w:t>,</w:t>
      </w:r>
      <w:r w:rsidRPr="00B51FAD">
        <w:rPr>
          <w:i/>
          <w:iCs/>
          <w:lang w:val="en-US"/>
        </w:rPr>
        <w:t xml:space="preserve"> available at</w:t>
      </w:r>
      <w:r>
        <w:rPr>
          <w:lang w:val="en-US"/>
        </w:rPr>
        <w:t xml:space="preserve"> </w:t>
      </w:r>
      <w:r w:rsidRPr="00E03F51">
        <w:rPr>
          <w:lang w:val="en-US"/>
        </w:rPr>
        <w:t>https://www.komen.org/breast-cancer/screening/follow-up/</w:t>
      </w:r>
      <w:r>
        <w:rPr>
          <w:lang w:val="en-US"/>
        </w:rPr>
        <w:t>.</w:t>
      </w:r>
    </w:p>
  </w:footnote>
  <w:footnote w:id="7">
    <w:p w14:paraId="4F7F11D1" w14:textId="1CAE91F1" w:rsidR="00CD73E5" w:rsidRPr="00CD73E5" w:rsidRDefault="00CD73E5">
      <w:pPr>
        <w:pStyle w:val="FootnoteText"/>
        <w:rPr>
          <w:lang w:val="en-US"/>
        </w:rPr>
      </w:pPr>
      <w:r>
        <w:rPr>
          <w:rStyle w:val="FootnoteReference"/>
        </w:rPr>
        <w:footnoteRef/>
      </w:r>
      <w:r>
        <w:t xml:space="preserve"> </w:t>
      </w:r>
      <w:r>
        <w:rPr>
          <w:lang w:val="en-US"/>
        </w:rPr>
        <w:t xml:space="preserve">N.Y. Insurance Law §§ </w:t>
      </w:r>
      <w:r w:rsidR="00E03F51">
        <w:rPr>
          <w:lang w:val="en-US"/>
        </w:rPr>
        <w:t>3216(</w:t>
      </w:r>
      <w:proofErr w:type="spellStart"/>
      <w:r w:rsidR="00E03F51">
        <w:rPr>
          <w:lang w:val="en-US"/>
        </w:rPr>
        <w:t>i</w:t>
      </w:r>
      <w:proofErr w:type="spellEnd"/>
      <w:r w:rsidR="00E03F51">
        <w:rPr>
          <w:lang w:val="en-US"/>
        </w:rPr>
        <w:t xml:space="preserve">)(11)(F), </w:t>
      </w:r>
      <w:r>
        <w:rPr>
          <w:lang w:val="en-US"/>
        </w:rPr>
        <w:t>3221(l)(11)(F),</w:t>
      </w:r>
      <w:r w:rsidR="00E03F51">
        <w:rPr>
          <w:lang w:val="en-US"/>
        </w:rPr>
        <w:t xml:space="preserve"> and 4303(p)(5).</w:t>
      </w:r>
      <w:r>
        <w:rPr>
          <w:lang w:val="en-US"/>
        </w:rPr>
        <w:t xml:space="preserve"> </w:t>
      </w:r>
    </w:p>
  </w:footnote>
  <w:footnote w:id="8">
    <w:p w14:paraId="351B12BB" w14:textId="4A4F52DF" w:rsidR="004B7A46" w:rsidRPr="002A2584" w:rsidRDefault="004B7A46" w:rsidP="004B7A46">
      <w:pPr>
        <w:pStyle w:val="FootnoteText"/>
        <w:rPr>
          <w:lang w:val="en-US"/>
        </w:rPr>
      </w:pPr>
      <w:r w:rsidRPr="002A2584">
        <w:rPr>
          <w:rStyle w:val="FootnoteReference"/>
          <w:vertAlign w:val="superscript"/>
        </w:rPr>
        <w:footnoteRef/>
      </w:r>
      <w:r w:rsidRPr="002A2584">
        <w:t xml:space="preserve"> </w:t>
      </w:r>
      <w:r w:rsidR="006A2608">
        <w:rPr>
          <w:lang w:val="en-US"/>
        </w:rPr>
        <w:t xml:space="preserve">42 U.S.C. § 18031(d)(3)(B) and </w:t>
      </w:r>
      <w:r w:rsidRPr="002A2584">
        <w:rPr>
          <w:lang w:val="en-US"/>
        </w:rPr>
        <w:t>4</w:t>
      </w:r>
      <w:bookmarkStart w:id="0" w:name="_Hlk158365934"/>
      <w:r w:rsidRPr="002A2584">
        <w:rPr>
          <w:lang w:val="en-US"/>
        </w:rPr>
        <w:t>5 C.F.R. § 155.170(a).</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411E" w14:textId="77777777" w:rsidR="00597448" w:rsidRDefault="00597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78C4" w14:textId="77777777" w:rsidR="004136FF" w:rsidRDefault="004136FF">
    <w:pPr>
      <w:tabs>
        <w:tab w:val="left" w:pos="5040"/>
        <w:tab w:val="left" w:pos="6480"/>
        <w:tab w:val="left" w:pos="8568"/>
      </w:tabs>
      <w:rPr>
        <w:rFonts w:ascii="EngraversGothic BT" w:hAnsi="EngraversGothic BT" w:cs="EngraversGothic BT"/>
        <w:sz w:val="16"/>
        <w:szCs w:val="16"/>
      </w:rPr>
    </w:pPr>
  </w:p>
  <w:p w14:paraId="5945D65C" w14:textId="77777777" w:rsidR="004136FF" w:rsidRDefault="004136FF">
    <w:pPr>
      <w:spacing w:line="240" w:lineRule="exact"/>
      <w:rPr>
        <w:rFonts w:ascii="EngraversGothic BT" w:hAnsi="EngraversGothic BT" w:cs="EngraversGothic BT"/>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8D51" w14:textId="77777777" w:rsidR="00597448" w:rsidRDefault="00597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42A6"/>
    <w:multiLevelType w:val="hybridMultilevel"/>
    <w:tmpl w:val="7A44E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00714"/>
    <w:multiLevelType w:val="multilevel"/>
    <w:tmpl w:val="84120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C1E69"/>
    <w:multiLevelType w:val="hybridMultilevel"/>
    <w:tmpl w:val="9086D1F4"/>
    <w:lvl w:ilvl="0" w:tplc="F8A22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1562EF"/>
    <w:multiLevelType w:val="hybridMultilevel"/>
    <w:tmpl w:val="5FBE6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CE6A56"/>
    <w:multiLevelType w:val="hybridMultilevel"/>
    <w:tmpl w:val="FDB80AC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3F78181C"/>
    <w:multiLevelType w:val="hybridMultilevel"/>
    <w:tmpl w:val="3912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51284F"/>
    <w:multiLevelType w:val="hybridMultilevel"/>
    <w:tmpl w:val="C324CD72"/>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4C1F7400"/>
    <w:multiLevelType w:val="hybridMultilevel"/>
    <w:tmpl w:val="BEEAD120"/>
    <w:lvl w:ilvl="0" w:tplc="2D9ACF80">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5C1F3F"/>
    <w:multiLevelType w:val="multilevel"/>
    <w:tmpl w:val="F342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005FC3"/>
    <w:multiLevelType w:val="hybridMultilevel"/>
    <w:tmpl w:val="13D8B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3C7015"/>
    <w:multiLevelType w:val="hybridMultilevel"/>
    <w:tmpl w:val="323E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031C61"/>
    <w:multiLevelType w:val="hybridMultilevel"/>
    <w:tmpl w:val="2FF41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460868"/>
    <w:multiLevelType w:val="hybridMultilevel"/>
    <w:tmpl w:val="49E65E4A"/>
    <w:lvl w:ilvl="0" w:tplc="351CF63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21757168">
    <w:abstractNumId w:val="7"/>
  </w:num>
  <w:num w:numId="2" w16cid:durableId="217909707">
    <w:abstractNumId w:val="12"/>
  </w:num>
  <w:num w:numId="3" w16cid:durableId="1039160387">
    <w:abstractNumId w:val="1"/>
  </w:num>
  <w:num w:numId="4" w16cid:durableId="963122559">
    <w:abstractNumId w:val="1"/>
  </w:num>
  <w:num w:numId="5" w16cid:durableId="801120832">
    <w:abstractNumId w:val="8"/>
  </w:num>
  <w:num w:numId="6" w16cid:durableId="1928341950">
    <w:abstractNumId w:val="10"/>
  </w:num>
  <w:num w:numId="7" w16cid:durableId="758873886">
    <w:abstractNumId w:val="5"/>
  </w:num>
  <w:num w:numId="8" w16cid:durableId="640842159">
    <w:abstractNumId w:val="4"/>
  </w:num>
  <w:num w:numId="9" w16cid:durableId="1370834071">
    <w:abstractNumId w:val="11"/>
  </w:num>
  <w:num w:numId="10" w16cid:durableId="1044407526">
    <w:abstractNumId w:val="0"/>
  </w:num>
  <w:num w:numId="11" w16cid:durableId="710616952">
    <w:abstractNumId w:val="3"/>
  </w:num>
  <w:num w:numId="12" w16cid:durableId="2087458624">
    <w:abstractNumId w:val="9"/>
  </w:num>
  <w:num w:numId="13" w16cid:durableId="2142846005">
    <w:abstractNumId w:val="6"/>
  </w:num>
  <w:num w:numId="14" w16cid:durableId="644168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91-1740-8163, v. 1"/>
    <w:docVar w:name="ndGeneratedStampLocation" w:val="LastPage"/>
  </w:docVars>
  <w:rsids>
    <w:rsidRoot w:val="0076109B"/>
    <w:rsid w:val="00005FE3"/>
    <w:rsid w:val="00010B3A"/>
    <w:rsid w:val="00076181"/>
    <w:rsid w:val="00084386"/>
    <w:rsid w:val="00084DC6"/>
    <w:rsid w:val="00092C3A"/>
    <w:rsid w:val="000B6AAE"/>
    <w:rsid w:val="000C57D1"/>
    <w:rsid w:val="001271F2"/>
    <w:rsid w:val="00142F8C"/>
    <w:rsid w:val="00144CE6"/>
    <w:rsid w:val="001450D3"/>
    <w:rsid w:val="0016121A"/>
    <w:rsid w:val="00167360"/>
    <w:rsid w:val="00167891"/>
    <w:rsid w:val="00171B9F"/>
    <w:rsid w:val="00182D60"/>
    <w:rsid w:val="001A434B"/>
    <w:rsid w:val="001C4276"/>
    <w:rsid w:val="001C61EA"/>
    <w:rsid w:val="001D7664"/>
    <w:rsid w:val="001E312F"/>
    <w:rsid w:val="001E4750"/>
    <w:rsid w:val="00213F1A"/>
    <w:rsid w:val="00234569"/>
    <w:rsid w:val="002441BF"/>
    <w:rsid w:val="0024599A"/>
    <w:rsid w:val="00246836"/>
    <w:rsid w:val="0025215A"/>
    <w:rsid w:val="00264FB4"/>
    <w:rsid w:val="002878B9"/>
    <w:rsid w:val="0029554A"/>
    <w:rsid w:val="002D62CE"/>
    <w:rsid w:val="002E2415"/>
    <w:rsid w:val="003047AC"/>
    <w:rsid w:val="00334703"/>
    <w:rsid w:val="00335A82"/>
    <w:rsid w:val="003431DD"/>
    <w:rsid w:val="00360AE9"/>
    <w:rsid w:val="00367796"/>
    <w:rsid w:val="00370B50"/>
    <w:rsid w:val="00394A69"/>
    <w:rsid w:val="003A7942"/>
    <w:rsid w:val="003B5947"/>
    <w:rsid w:val="003B6CF7"/>
    <w:rsid w:val="003F0FBF"/>
    <w:rsid w:val="0040204F"/>
    <w:rsid w:val="004033E3"/>
    <w:rsid w:val="004131B4"/>
    <w:rsid w:val="004136FF"/>
    <w:rsid w:val="00415A20"/>
    <w:rsid w:val="0043048A"/>
    <w:rsid w:val="004608AF"/>
    <w:rsid w:val="00466651"/>
    <w:rsid w:val="00482044"/>
    <w:rsid w:val="00482AA0"/>
    <w:rsid w:val="0048488A"/>
    <w:rsid w:val="004937E5"/>
    <w:rsid w:val="004A428C"/>
    <w:rsid w:val="004B3324"/>
    <w:rsid w:val="004B7A46"/>
    <w:rsid w:val="004E4E30"/>
    <w:rsid w:val="00510527"/>
    <w:rsid w:val="00520383"/>
    <w:rsid w:val="005421EB"/>
    <w:rsid w:val="005426DA"/>
    <w:rsid w:val="005438F9"/>
    <w:rsid w:val="00554397"/>
    <w:rsid w:val="005615BE"/>
    <w:rsid w:val="00561FBA"/>
    <w:rsid w:val="00567E5F"/>
    <w:rsid w:val="00576069"/>
    <w:rsid w:val="00580177"/>
    <w:rsid w:val="0059623A"/>
    <w:rsid w:val="00597448"/>
    <w:rsid w:val="005A2549"/>
    <w:rsid w:val="005A2DD0"/>
    <w:rsid w:val="005B0645"/>
    <w:rsid w:val="005E5CE1"/>
    <w:rsid w:val="005F14F8"/>
    <w:rsid w:val="005F6465"/>
    <w:rsid w:val="00606857"/>
    <w:rsid w:val="0061399F"/>
    <w:rsid w:val="00625F53"/>
    <w:rsid w:val="00651257"/>
    <w:rsid w:val="00655F51"/>
    <w:rsid w:val="006662A1"/>
    <w:rsid w:val="006726D4"/>
    <w:rsid w:val="00681F1B"/>
    <w:rsid w:val="00692CCE"/>
    <w:rsid w:val="006A05DF"/>
    <w:rsid w:val="006A2608"/>
    <w:rsid w:val="006A3254"/>
    <w:rsid w:val="006B2ED6"/>
    <w:rsid w:val="006B4C9C"/>
    <w:rsid w:val="006B7F18"/>
    <w:rsid w:val="006C1783"/>
    <w:rsid w:val="006C7AB1"/>
    <w:rsid w:val="006D021D"/>
    <w:rsid w:val="006D2066"/>
    <w:rsid w:val="006D2B57"/>
    <w:rsid w:val="006E764B"/>
    <w:rsid w:val="006F63B8"/>
    <w:rsid w:val="00710337"/>
    <w:rsid w:val="00717588"/>
    <w:rsid w:val="00746549"/>
    <w:rsid w:val="007526F6"/>
    <w:rsid w:val="0076109B"/>
    <w:rsid w:val="00763C81"/>
    <w:rsid w:val="00787055"/>
    <w:rsid w:val="007A74BF"/>
    <w:rsid w:val="007B50C9"/>
    <w:rsid w:val="007D71F7"/>
    <w:rsid w:val="007F0891"/>
    <w:rsid w:val="00804234"/>
    <w:rsid w:val="0080619C"/>
    <w:rsid w:val="00833743"/>
    <w:rsid w:val="008342B1"/>
    <w:rsid w:val="008379B0"/>
    <w:rsid w:val="0087396C"/>
    <w:rsid w:val="00882FF7"/>
    <w:rsid w:val="008B47A4"/>
    <w:rsid w:val="008C3EEF"/>
    <w:rsid w:val="008D68BB"/>
    <w:rsid w:val="008D7AE5"/>
    <w:rsid w:val="009143B2"/>
    <w:rsid w:val="00923FA8"/>
    <w:rsid w:val="0093141A"/>
    <w:rsid w:val="009469B1"/>
    <w:rsid w:val="00952EF2"/>
    <w:rsid w:val="00954298"/>
    <w:rsid w:val="00963914"/>
    <w:rsid w:val="00965DD9"/>
    <w:rsid w:val="00982B96"/>
    <w:rsid w:val="00982C68"/>
    <w:rsid w:val="00985F53"/>
    <w:rsid w:val="009D106D"/>
    <w:rsid w:val="009E1D68"/>
    <w:rsid w:val="009F2615"/>
    <w:rsid w:val="009F7D49"/>
    <w:rsid w:val="00A074EC"/>
    <w:rsid w:val="00A220AC"/>
    <w:rsid w:val="00A4271E"/>
    <w:rsid w:val="00A60DFF"/>
    <w:rsid w:val="00A61775"/>
    <w:rsid w:val="00A716BA"/>
    <w:rsid w:val="00A97ED4"/>
    <w:rsid w:val="00AB4347"/>
    <w:rsid w:val="00AB7F49"/>
    <w:rsid w:val="00AC05A1"/>
    <w:rsid w:val="00AC6147"/>
    <w:rsid w:val="00AE70D7"/>
    <w:rsid w:val="00AE75A0"/>
    <w:rsid w:val="00AF063F"/>
    <w:rsid w:val="00B04118"/>
    <w:rsid w:val="00B15C5A"/>
    <w:rsid w:val="00B51FAD"/>
    <w:rsid w:val="00B57F8D"/>
    <w:rsid w:val="00B71B4F"/>
    <w:rsid w:val="00B93094"/>
    <w:rsid w:val="00B955A5"/>
    <w:rsid w:val="00BB0B24"/>
    <w:rsid w:val="00BC4ABD"/>
    <w:rsid w:val="00BD146B"/>
    <w:rsid w:val="00BE0750"/>
    <w:rsid w:val="00BF274F"/>
    <w:rsid w:val="00C037C5"/>
    <w:rsid w:val="00C07E03"/>
    <w:rsid w:val="00C25001"/>
    <w:rsid w:val="00C25586"/>
    <w:rsid w:val="00C52544"/>
    <w:rsid w:val="00C53FA9"/>
    <w:rsid w:val="00C706D9"/>
    <w:rsid w:val="00C92E14"/>
    <w:rsid w:val="00C93457"/>
    <w:rsid w:val="00C963B7"/>
    <w:rsid w:val="00CB228B"/>
    <w:rsid w:val="00CB4AEB"/>
    <w:rsid w:val="00CB7854"/>
    <w:rsid w:val="00CC0C99"/>
    <w:rsid w:val="00CD354D"/>
    <w:rsid w:val="00CD73E5"/>
    <w:rsid w:val="00CE5F5C"/>
    <w:rsid w:val="00D06BBC"/>
    <w:rsid w:val="00D10300"/>
    <w:rsid w:val="00D2572E"/>
    <w:rsid w:val="00D336B4"/>
    <w:rsid w:val="00D41B8F"/>
    <w:rsid w:val="00D604C9"/>
    <w:rsid w:val="00D60CD4"/>
    <w:rsid w:val="00D62CBF"/>
    <w:rsid w:val="00D647E4"/>
    <w:rsid w:val="00D72932"/>
    <w:rsid w:val="00D73EAF"/>
    <w:rsid w:val="00DA0369"/>
    <w:rsid w:val="00DA1475"/>
    <w:rsid w:val="00DA5FAC"/>
    <w:rsid w:val="00DB23B3"/>
    <w:rsid w:val="00DD4708"/>
    <w:rsid w:val="00DD5EED"/>
    <w:rsid w:val="00DE33B8"/>
    <w:rsid w:val="00E03F51"/>
    <w:rsid w:val="00E05392"/>
    <w:rsid w:val="00E265E9"/>
    <w:rsid w:val="00E37C24"/>
    <w:rsid w:val="00E5274D"/>
    <w:rsid w:val="00E57261"/>
    <w:rsid w:val="00E6138A"/>
    <w:rsid w:val="00E62056"/>
    <w:rsid w:val="00EA0336"/>
    <w:rsid w:val="00EA486F"/>
    <w:rsid w:val="00EA7D4A"/>
    <w:rsid w:val="00ED1CCC"/>
    <w:rsid w:val="00ED4BD2"/>
    <w:rsid w:val="00F04D5A"/>
    <w:rsid w:val="00F20789"/>
    <w:rsid w:val="00F343C8"/>
    <w:rsid w:val="00F379C4"/>
    <w:rsid w:val="00F4152B"/>
    <w:rsid w:val="00F45BF0"/>
    <w:rsid w:val="00F70BB2"/>
    <w:rsid w:val="00F91DA7"/>
    <w:rsid w:val="00FA6349"/>
    <w:rsid w:val="00FB15BF"/>
    <w:rsid w:val="00FE31E9"/>
    <w:rsid w:val="00FF0351"/>
    <w:rsid w:val="00FF4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2"/>
    </o:shapelayout>
  </w:shapeDefaults>
  <w:decimalSymbol w:val="."/>
  <w:listSeparator w:val=","/>
  <w14:docId w14:val="48628943"/>
  <w15:chartTrackingRefBased/>
  <w15:docId w15:val="{6FD77242-8553-4B5B-B256-D708137A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52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F4152B"/>
  </w:style>
  <w:style w:type="paragraph" w:styleId="Header">
    <w:name w:val="header"/>
    <w:basedOn w:val="Normal"/>
    <w:rsid w:val="0093141A"/>
    <w:pPr>
      <w:tabs>
        <w:tab w:val="center" w:pos="4320"/>
        <w:tab w:val="right" w:pos="8640"/>
      </w:tabs>
    </w:pPr>
  </w:style>
  <w:style w:type="paragraph" w:styleId="Footer">
    <w:name w:val="footer"/>
    <w:basedOn w:val="Normal"/>
    <w:rsid w:val="0093141A"/>
    <w:pPr>
      <w:tabs>
        <w:tab w:val="center" w:pos="4320"/>
        <w:tab w:val="right" w:pos="8640"/>
      </w:tabs>
    </w:pPr>
  </w:style>
  <w:style w:type="paragraph" w:styleId="BalloonText">
    <w:name w:val="Balloon Text"/>
    <w:basedOn w:val="Normal"/>
    <w:semiHidden/>
    <w:rsid w:val="004A428C"/>
    <w:rPr>
      <w:rFonts w:ascii="Tahoma" w:hAnsi="Tahoma" w:cs="Tahoma"/>
      <w:sz w:val="16"/>
      <w:szCs w:val="16"/>
    </w:rPr>
  </w:style>
  <w:style w:type="paragraph" w:styleId="HTMLPreformatted">
    <w:name w:val="HTML Preformatted"/>
    <w:basedOn w:val="Normal"/>
    <w:link w:val="HTMLPreformattedChar"/>
    <w:uiPriority w:val="99"/>
    <w:semiHidden/>
    <w:unhideWhenUsed/>
    <w:rsid w:val="005438F9"/>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5438F9"/>
    <w:rPr>
      <w:rFonts w:ascii="Courier New" w:hAnsi="Courier New" w:cs="Courier New"/>
    </w:rPr>
  </w:style>
  <w:style w:type="character" w:styleId="Hyperlink">
    <w:name w:val="Hyperlink"/>
    <w:uiPriority w:val="99"/>
    <w:unhideWhenUsed/>
    <w:rsid w:val="00076181"/>
    <w:rPr>
      <w:color w:val="0000FF"/>
      <w:u w:val="single"/>
    </w:rPr>
  </w:style>
  <w:style w:type="paragraph" w:styleId="NoSpacing">
    <w:name w:val="No Spacing"/>
    <w:uiPriority w:val="1"/>
    <w:qFormat/>
    <w:rsid w:val="00D72932"/>
    <w:rPr>
      <w:rFonts w:ascii="Calibri" w:eastAsia="Calibri" w:hAnsi="Calibri"/>
      <w:sz w:val="22"/>
      <w:szCs w:val="22"/>
    </w:rPr>
  </w:style>
  <w:style w:type="paragraph" w:styleId="FootnoteText">
    <w:name w:val="footnote text"/>
    <w:link w:val="FootnoteTextChar"/>
    <w:semiHidden/>
    <w:unhideWhenUsed/>
    <w:rsid w:val="00F4152B"/>
    <w:rPr>
      <w:rFonts w:eastAsia="Calibri"/>
      <w:lang w:val="x-none" w:eastAsia="x-none"/>
    </w:rPr>
  </w:style>
  <w:style w:type="character" w:customStyle="1" w:styleId="FootnoteTextChar">
    <w:name w:val="Footnote Text Char"/>
    <w:link w:val="FootnoteText"/>
    <w:semiHidden/>
    <w:rsid w:val="00F4152B"/>
    <w:rPr>
      <w:rFonts w:eastAsia="Calibri"/>
      <w:lang w:val="x-none" w:eastAsia="x-none"/>
    </w:rPr>
  </w:style>
  <w:style w:type="character" w:customStyle="1" w:styleId="UnresolvedMention1">
    <w:name w:val="Unresolved Mention1"/>
    <w:basedOn w:val="DefaultParagraphFont"/>
    <w:uiPriority w:val="99"/>
    <w:semiHidden/>
    <w:unhideWhenUsed/>
    <w:rsid w:val="002D62CE"/>
    <w:rPr>
      <w:color w:val="605E5C"/>
      <w:shd w:val="clear" w:color="auto" w:fill="E1DFDD"/>
    </w:rPr>
  </w:style>
  <w:style w:type="paragraph" w:styleId="Revision">
    <w:name w:val="Revision"/>
    <w:hidden/>
    <w:uiPriority w:val="99"/>
    <w:semiHidden/>
    <w:rsid w:val="005974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0056">
      <w:bodyDiv w:val="1"/>
      <w:marLeft w:val="0"/>
      <w:marRight w:val="0"/>
      <w:marTop w:val="0"/>
      <w:marBottom w:val="0"/>
      <w:divBdr>
        <w:top w:val="none" w:sz="0" w:space="0" w:color="auto"/>
        <w:left w:val="none" w:sz="0" w:space="0" w:color="auto"/>
        <w:bottom w:val="none" w:sz="0" w:space="0" w:color="auto"/>
        <w:right w:val="none" w:sz="0" w:space="0" w:color="auto"/>
      </w:divBdr>
    </w:div>
    <w:div w:id="197551696">
      <w:bodyDiv w:val="1"/>
      <w:marLeft w:val="0"/>
      <w:marRight w:val="0"/>
      <w:marTop w:val="0"/>
      <w:marBottom w:val="0"/>
      <w:divBdr>
        <w:top w:val="none" w:sz="0" w:space="0" w:color="auto"/>
        <w:left w:val="none" w:sz="0" w:space="0" w:color="auto"/>
        <w:bottom w:val="none" w:sz="0" w:space="0" w:color="auto"/>
        <w:right w:val="none" w:sz="0" w:space="0" w:color="auto"/>
      </w:divBdr>
    </w:div>
    <w:div w:id="394593599">
      <w:bodyDiv w:val="1"/>
      <w:marLeft w:val="0"/>
      <w:marRight w:val="0"/>
      <w:marTop w:val="0"/>
      <w:marBottom w:val="0"/>
      <w:divBdr>
        <w:top w:val="none" w:sz="0" w:space="0" w:color="auto"/>
        <w:left w:val="none" w:sz="0" w:space="0" w:color="auto"/>
        <w:bottom w:val="none" w:sz="0" w:space="0" w:color="auto"/>
        <w:right w:val="none" w:sz="0" w:space="0" w:color="auto"/>
      </w:divBdr>
    </w:div>
    <w:div w:id="434516734">
      <w:bodyDiv w:val="1"/>
      <w:marLeft w:val="0"/>
      <w:marRight w:val="0"/>
      <w:marTop w:val="0"/>
      <w:marBottom w:val="0"/>
      <w:divBdr>
        <w:top w:val="none" w:sz="0" w:space="0" w:color="auto"/>
        <w:left w:val="none" w:sz="0" w:space="0" w:color="auto"/>
        <w:bottom w:val="none" w:sz="0" w:space="0" w:color="auto"/>
        <w:right w:val="none" w:sz="0" w:space="0" w:color="auto"/>
      </w:divBdr>
      <w:divsChild>
        <w:div w:id="1291277462">
          <w:marLeft w:val="0"/>
          <w:marRight w:val="0"/>
          <w:marTop w:val="0"/>
          <w:marBottom w:val="0"/>
          <w:divBdr>
            <w:top w:val="none" w:sz="0" w:space="0" w:color="auto"/>
            <w:left w:val="none" w:sz="0" w:space="0" w:color="auto"/>
            <w:bottom w:val="none" w:sz="0" w:space="0" w:color="auto"/>
            <w:right w:val="none" w:sz="0" w:space="0" w:color="auto"/>
          </w:divBdr>
          <w:divsChild>
            <w:div w:id="1506434964">
              <w:marLeft w:val="0"/>
              <w:marRight w:val="0"/>
              <w:marTop w:val="0"/>
              <w:marBottom w:val="0"/>
              <w:divBdr>
                <w:top w:val="none" w:sz="0" w:space="0" w:color="auto"/>
                <w:left w:val="none" w:sz="0" w:space="0" w:color="auto"/>
                <w:bottom w:val="none" w:sz="0" w:space="0" w:color="auto"/>
                <w:right w:val="none" w:sz="0" w:space="0" w:color="auto"/>
              </w:divBdr>
              <w:divsChild>
                <w:div w:id="384716434">
                  <w:marLeft w:val="0"/>
                  <w:marRight w:val="0"/>
                  <w:marTop w:val="0"/>
                  <w:marBottom w:val="600"/>
                  <w:divBdr>
                    <w:top w:val="none" w:sz="0" w:space="0" w:color="auto"/>
                    <w:left w:val="none" w:sz="0" w:space="0" w:color="auto"/>
                    <w:bottom w:val="none" w:sz="0" w:space="0" w:color="auto"/>
                    <w:right w:val="none" w:sz="0" w:space="0" w:color="auto"/>
                  </w:divBdr>
                  <w:divsChild>
                    <w:div w:id="17532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99104">
      <w:bodyDiv w:val="1"/>
      <w:marLeft w:val="0"/>
      <w:marRight w:val="0"/>
      <w:marTop w:val="0"/>
      <w:marBottom w:val="0"/>
      <w:divBdr>
        <w:top w:val="none" w:sz="0" w:space="0" w:color="auto"/>
        <w:left w:val="none" w:sz="0" w:space="0" w:color="auto"/>
        <w:bottom w:val="none" w:sz="0" w:space="0" w:color="auto"/>
        <w:right w:val="none" w:sz="0" w:space="0" w:color="auto"/>
      </w:divBdr>
    </w:div>
    <w:div w:id="614991212">
      <w:bodyDiv w:val="1"/>
      <w:marLeft w:val="0"/>
      <w:marRight w:val="0"/>
      <w:marTop w:val="0"/>
      <w:marBottom w:val="0"/>
      <w:divBdr>
        <w:top w:val="none" w:sz="0" w:space="0" w:color="auto"/>
        <w:left w:val="none" w:sz="0" w:space="0" w:color="auto"/>
        <w:bottom w:val="none" w:sz="0" w:space="0" w:color="auto"/>
        <w:right w:val="none" w:sz="0" w:space="0" w:color="auto"/>
      </w:divBdr>
    </w:div>
    <w:div w:id="687800999">
      <w:bodyDiv w:val="1"/>
      <w:marLeft w:val="0"/>
      <w:marRight w:val="0"/>
      <w:marTop w:val="0"/>
      <w:marBottom w:val="0"/>
      <w:divBdr>
        <w:top w:val="none" w:sz="0" w:space="0" w:color="auto"/>
        <w:left w:val="none" w:sz="0" w:space="0" w:color="auto"/>
        <w:bottom w:val="none" w:sz="0" w:space="0" w:color="auto"/>
        <w:right w:val="none" w:sz="0" w:space="0" w:color="auto"/>
      </w:divBdr>
    </w:div>
    <w:div w:id="871645994">
      <w:bodyDiv w:val="1"/>
      <w:marLeft w:val="0"/>
      <w:marRight w:val="0"/>
      <w:marTop w:val="0"/>
      <w:marBottom w:val="0"/>
      <w:divBdr>
        <w:top w:val="none" w:sz="0" w:space="0" w:color="auto"/>
        <w:left w:val="none" w:sz="0" w:space="0" w:color="auto"/>
        <w:bottom w:val="none" w:sz="0" w:space="0" w:color="auto"/>
        <w:right w:val="none" w:sz="0" w:space="0" w:color="auto"/>
      </w:divBdr>
      <w:divsChild>
        <w:div w:id="1301422437">
          <w:marLeft w:val="0"/>
          <w:marRight w:val="0"/>
          <w:marTop w:val="0"/>
          <w:marBottom w:val="0"/>
          <w:divBdr>
            <w:top w:val="none" w:sz="0" w:space="0" w:color="auto"/>
            <w:left w:val="none" w:sz="0" w:space="0" w:color="auto"/>
            <w:bottom w:val="none" w:sz="0" w:space="0" w:color="auto"/>
            <w:right w:val="none" w:sz="0" w:space="0" w:color="auto"/>
          </w:divBdr>
          <w:divsChild>
            <w:div w:id="1182628401">
              <w:marLeft w:val="0"/>
              <w:marRight w:val="0"/>
              <w:marTop w:val="0"/>
              <w:marBottom w:val="0"/>
              <w:divBdr>
                <w:top w:val="none" w:sz="0" w:space="0" w:color="auto"/>
                <w:left w:val="none" w:sz="0" w:space="0" w:color="auto"/>
                <w:bottom w:val="none" w:sz="0" w:space="0" w:color="auto"/>
                <w:right w:val="none" w:sz="0" w:space="0" w:color="auto"/>
              </w:divBdr>
              <w:divsChild>
                <w:div w:id="786848880">
                  <w:marLeft w:val="0"/>
                  <w:marRight w:val="0"/>
                  <w:marTop w:val="0"/>
                  <w:marBottom w:val="600"/>
                  <w:divBdr>
                    <w:top w:val="none" w:sz="0" w:space="0" w:color="auto"/>
                    <w:left w:val="none" w:sz="0" w:space="0" w:color="auto"/>
                    <w:bottom w:val="none" w:sz="0" w:space="0" w:color="auto"/>
                    <w:right w:val="none" w:sz="0" w:space="0" w:color="auto"/>
                  </w:divBdr>
                  <w:divsChild>
                    <w:div w:id="8610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384169">
      <w:bodyDiv w:val="1"/>
      <w:marLeft w:val="0"/>
      <w:marRight w:val="0"/>
      <w:marTop w:val="0"/>
      <w:marBottom w:val="0"/>
      <w:divBdr>
        <w:top w:val="none" w:sz="0" w:space="0" w:color="auto"/>
        <w:left w:val="none" w:sz="0" w:space="0" w:color="auto"/>
        <w:bottom w:val="none" w:sz="0" w:space="0" w:color="auto"/>
        <w:right w:val="none" w:sz="0" w:space="0" w:color="auto"/>
      </w:divBdr>
    </w:div>
    <w:div w:id="1200779932">
      <w:bodyDiv w:val="1"/>
      <w:marLeft w:val="0"/>
      <w:marRight w:val="0"/>
      <w:marTop w:val="0"/>
      <w:marBottom w:val="0"/>
      <w:divBdr>
        <w:top w:val="none" w:sz="0" w:space="0" w:color="auto"/>
        <w:left w:val="none" w:sz="0" w:space="0" w:color="auto"/>
        <w:bottom w:val="none" w:sz="0" w:space="0" w:color="auto"/>
        <w:right w:val="none" w:sz="0" w:space="0" w:color="auto"/>
      </w:divBdr>
    </w:div>
    <w:div w:id="1241406947">
      <w:bodyDiv w:val="1"/>
      <w:marLeft w:val="0"/>
      <w:marRight w:val="0"/>
      <w:marTop w:val="0"/>
      <w:marBottom w:val="0"/>
      <w:divBdr>
        <w:top w:val="none" w:sz="0" w:space="0" w:color="auto"/>
        <w:left w:val="none" w:sz="0" w:space="0" w:color="auto"/>
        <w:bottom w:val="none" w:sz="0" w:space="0" w:color="auto"/>
        <w:right w:val="none" w:sz="0" w:space="0" w:color="auto"/>
      </w:divBdr>
    </w:div>
    <w:div w:id="1407649972">
      <w:bodyDiv w:val="1"/>
      <w:marLeft w:val="0"/>
      <w:marRight w:val="0"/>
      <w:marTop w:val="0"/>
      <w:marBottom w:val="0"/>
      <w:divBdr>
        <w:top w:val="none" w:sz="0" w:space="0" w:color="auto"/>
        <w:left w:val="none" w:sz="0" w:space="0" w:color="auto"/>
        <w:bottom w:val="none" w:sz="0" w:space="0" w:color="auto"/>
        <w:right w:val="none" w:sz="0" w:space="0" w:color="auto"/>
      </w:divBdr>
    </w:div>
    <w:div w:id="1493520998">
      <w:bodyDiv w:val="1"/>
      <w:marLeft w:val="0"/>
      <w:marRight w:val="0"/>
      <w:marTop w:val="0"/>
      <w:marBottom w:val="0"/>
      <w:divBdr>
        <w:top w:val="none" w:sz="0" w:space="0" w:color="auto"/>
        <w:left w:val="none" w:sz="0" w:space="0" w:color="auto"/>
        <w:bottom w:val="none" w:sz="0" w:space="0" w:color="auto"/>
        <w:right w:val="none" w:sz="0" w:space="0" w:color="auto"/>
      </w:divBdr>
    </w:div>
    <w:div w:id="1674530432">
      <w:bodyDiv w:val="1"/>
      <w:marLeft w:val="0"/>
      <w:marRight w:val="0"/>
      <w:marTop w:val="0"/>
      <w:marBottom w:val="0"/>
      <w:divBdr>
        <w:top w:val="none" w:sz="0" w:space="0" w:color="auto"/>
        <w:left w:val="none" w:sz="0" w:space="0" w:color="auto"/>
        <w:bottom w:val="none" w:sz="0" w:space="0" w:color="auto"/>
        <w:right w:val="none" w:sz="0" w:space="0" w:color="auto"/>
      </w:divBdr>
      <w:divsChild>
        <w:div w:id="570508722">
          <w:marLeft w:val="0"/>
          <w:marRight w:val="0"/>
          <w:marTop w:val="0"/>
          <w:marBottom w:val="0"/>
          <w:divBdr>
            <w:top w:val="none" w:sz="0" w:space="0" w:color="auto"/>
            <w:left w:val="none" w:sz="0" w:space="0" w:color="auto"/>
            <w:bottom w:val="none" w:sz="0" w:space="0" w:color="auto"/>
            <w:right w:val="none" w:sz="0" w:space="0" w:color="auto"/>
          </w:divBdr>
          <w:divsChild>
            <w:div w:id="459961463">
              <w:marLeft w:val="0"/>
              <w:marRight w:val="0"/>
              <w:marTop w:val="0"/>
              <w:marBottom w:val="0"/>
              <w:divBdr>
                <w:top w:val="none" w:sz="0" w:space="0" w:color="auto"/>
                <w:left w:val="none" w:sz="0" w:space="0" w:color="auto"/>
                <w:bottom w:val="none" w:sz="0" w:space="0" w:color="auto"/>
                <w:right w:val="none" w:sz="0" w:space="0" w:color="auto"/>
              </w:divBdr>
              <w:divsChild>
                <w:div w:id="1901937442">
                  <w:marLeft w:val="0"/>
                  <w:marRight w:val="0"/>
                  <w:marTop w:val="0"/>
                  <w:marBottom w:val="600"/>
                  <w:divBdr>
                    <w:top w:val="none" w:sz="0" w:space="0" w:color="auto"/>
                    <w:left w:val="none" w:sz="0" w:space="0" w:color="auto"/>
                    <w:bottom w:val="none" w:sz="0" w:space="0" w:color="auto"/>
                    <w:right w:val="none" w:sz="0" w:space="0" w:color="auto"/>
                  </w:divBdr>
                  <w:divsChild>
                    <w:div w:id="294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1644">
      <w:bodyDiv w:val="1"/>
      <w:marLeft w:val="0"/>
      <w:marRight w:val="0"/>
      <w:marTop w:val="0"/>
      <w:marBottom w:val="0"/>
      <w:divBdr>
        <w:top w:val="none" w:sz="0" w:space="0" w:color="auto"/>
        <w:left w:val="none" w:sz="0" w:space="0" w:color="auto"/>
        <w:bottom w:val="none" w:sz="0" w:space="0" w:color="auto"/>
        <w:right w:val="none" w:sz="0" w:space="0" w:color="auto"/>
      </w:divBdr>
      <w:divsChild>
        <w:div w:id="481236706">
          <w:marLeft w:val="0"/>
          <w:marRight w:val="0"/>
          <w:marTop w:val="0"/>
          <w:marBottom w:val="0"/>
          <w:divBdr>
            <w:top w:val="none" w:sz="0" w:space="0" w:color="auto"/>
            <w:left w:val="none" w:sz="0" w:space="0" w:color="auto"/>
            <w:bottom w:val="none" w:sz="0" w:space="0" w:color="auto"/>
            <w:right w:val="none" w:sz="0" w:space="0" w:color="auto"/>
          </w:divBdr>
          <w:divsChild>
            <w:div w:id="1545212890">
              <w:marLeft w:val="0"/>
              <w:marRight w:val="0"/>
              <w:marTop w:val="0"/>
              <w:marBottom w:val="0"/>
              <w:divBdr>
                <w:top w:val="none" w:sz="0" w:space="0" w:color="auto"/>
                <w:left w:val="none" w:sz="0" w:space="0" w:color="auto"/>
                <w:bottom w:val="none" w:sz="0" w:space="0" w:color="auto"/>
                <w:right w:val="none" w:sz="0" w:space="0" w:color="auto"/>
              </w:divBdr>
              <w:divsChild>
                <w:div w:id="1369330389">
                  <w:marLeft w:val="0"/>
                  <w:marRight w:val="0"/>
                  <w:marTop w:val="0"/>
                  <w:marBottom w:val="600"/>
                  <w:divBdr>
                    <w:top w:val="none" w:sz="0" w:space="0" w:color="auto"/>
                    <w:left w:val="none" w:sz="0" w:space="0" w:color="auto"/>
                    <w:bottom w:val="none" w:sz="0" w:space="0" w:color="auto"/>
                    <w:right w:val="none" w:sz="0" w:space="0" w:color="auto"/>
                  </w:divBdr>
                  <w:divsChild>
                    <w:div w:id="19814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126800">
      <w:bodyDiv w:val="1"/>
      <w:marLeft w:val="0"/>
      <w:marRight w:val="0"/>
      <w:marTop w:val="0"/>
      <w:marBottom w:val="0"/>
      <w:divBdr>
        <w:top w:val="none" w:sz="0" w:space="0" w:color="auto"/>
        <w:left w:val="none" w:sz="0" w:space="0" w:color="auto"/>
        <w:bottom w:val="none" w:sz="0" w:space="0" w:color="auto"/>
        <w:right w:val="none" w:sz="0" w:space="0" w:color="auto"/>
      </w:divBdr>
    </w:div>
    <w:div w:id="21094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EF277-37F0-485C-A3B6-5904865DB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886</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__________, 2009</vt:lpstr>
    </vt:vector>
  </TitlesOfParts>
  <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 2009</dc:title>
  <dc:subject/>
  <dc:creator>KELLY_R</dc:creator>
  <cp:keywords/>
  <cp:lastModifiedBy>Daniel Hinckley</cp:lastModifiedBy>
  <cp:revision>2</cp:revision>
  <cp:lastPrinted>2024-03-01T14:16:00Z</cp:lastPrinted>
  <dcterms:created xsi:type="dcterms:W3CDTF">2024-03-21T17:17:00Z</dcterms:created>
  <dcterms:modified xsi:type="dcterms:W3CDTF">2024-03-21T17:17:00Z</dcterms:modified>
</cp:coreProperties>
</file>