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5F277D" w14:textId="77777777" w:rsidR="00335A82" w:rsidRDefault="00952EF2" w:rsidP="00335A82">
      <w:r>
        <w:rPr>
          <w:noProof/>
        </w:rPr>
        <w:drawing>
          <wp:inline distT="0" distB="0" distL="0" distR="0" wp14:anchorId="69DCE665" wp14:editId="1936D29F">
            <wp:extent cx="1428750" cy="581025"/>
            <wp:effectExtent l="0" t="0" r="0" b="0"/>
            <wp:docPr id="1" name="Picture 1" descr="hspmcolo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pmcolorlogo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8750" cy="581025"/>
                    </a:xfrm>
                    <a:prstGeom prst="rect">
                      <a:avLst/>
                    </a:prstGeom>
                    <a:noFill/>
                    <a:ln>
                      <a:noFill/>
                    </a:ln>
                  </pic:spPr>
                </pic:pic>
              </a:graphicData>
            </a:graphic>
          </wp:inline>
        </w:drawing>
      </w:r>
    </w:p>
    <w:p w14:paraId="067AB46A" w14:textId="77777777" w:rsidR="00335A82" w:rsidRPr="00B140B8" w:rsidRDefault="00335A82" w:rsidP="00335A82">
      <w:pPr>
        <w:rPr>
          <w:rFonts w:ascii="EngraversGothic BT" w:hAnsi="EngraversGothic BT"/>
          <w:sz w:val="16"/>
          <w:szCs w:val="16"/>
        </w:rPr>
      </w:pPr>
    </w:p>
    <w:p w14:paraId="2C67FD5B" w14:textId="77777777" w:rsidR="00335A82" w:rsidRPr="00B140B8" w:rsidRDefault="00335A82" w:rsidP="00335A82">
      <w:pPr>
        <w:rPr>
          <w:rFonts w:ascii="EngraversGothic BT" w:hAnsi="EngraversGothic BT"/>
          <w:sz w:val="18"/>
          <w:szCs w:val="18"/>
        </w:rPr>
      </w:pPr>
      <w:smartTag w:uri="urn:schemas-microsoft-com:office:smarttags" w:element="Street">
        <w:smartTag w:uri="urn:schemas-microsoft-com:office:smarttags" w:element="address">
          <w:r w:rsidRPr="00B140B8">
            <w:rPr>
              <w:rFonts w:ascii="EngraversGothic BT" w:hAnsi="EngraversGothic BT"/>
              <w:sz w:val="18"/>
              <w:szCs w:val="18"/>
            </w:rPr>
            <w:t>121 State Street</w:t>
          </w:r>
        </w:smartTag>
      </w:smartTag>
    </w:p>
    <w:p w14:paraId="2C6F6467" w14:textId="77777777" w:rsidR="00335A82" w:rsidRPr="00B140B8" w:rsidRDefault="00335A82" w:rsidP="00335A82">
      <w:pPr>
        <w:rPr>
          <w:rFonts w:ascii="EngraversGothic BT" w:hAnsi="EngraversGothic BT"/>
          <w:sz w:val="18"/>
          <w:szCs w:val="18"/>
        </w:rPr>
      </w:pPr>
      <w:smartTag w:uri="urn:schemas-microsoft-com:office:smarttags" w:element="place">
        <w:smartTag w:uri="urn:schemas-microsoft-com:office:smarttags" w:element="City">
          <w:r w:rsidRPr="00B140B8">
            <w:rPr>
              <w:rFonts w:ascii="EngraversGothic BT" w:hAnsi="EngraversGothic BT"/>
              <w:sz w:val="18"/>
              <w:szCs w:val="18"/>
            </w:rPr>
            <w:t>Albany</w:t>
          </w:r>
        </w:smartTag>
        <w:r w:rsidRPr="00B140B8">
          <w:rPr>
            <w:rFonts w:ascii="EngraversGothic BT" w:hAnsi="EngraversGothic BT"/>
            <w:sz w:val="18"/>
            <w:szCs w:val="18"/>
          </w:rPr>
          <w:t xml:space="preserve">, </w:t>
        </w:r>
        <w:smartTag w:uri="urn:schemas-microsoft-com:office:smarttags" w:element="State">
          <w:r w:rsidRPr="00B140B8">
            <w:rPr>
              <w:rFonts w:ascii="EngraversGothic BT" w:hAnsi="EngraversGothic BT"/>
              <w:sz w:val="18"/>
              <w:szCs w:val="18"/>
            </w:rPr>
            <w:t>New York</w:t>
          </w:r>
        </w:smartTag>
        <w:r w:rsidRPr="00B140B8">
          <w:rPr>
            <w:rFonts w:ascii="EngraversGothic BT" w:hAnsi="EngraversGothic BT"/>
            <w:sz w:val="18"/>
            <w:szCs w:val="18"/>
          </w:rPr>
          <w:t xml:space="preserve"> </w:t>
        </w:r>
        <w:smartTag w:uri="urn:schemas-microsoft-com:office:smarttags" w:element="PostalCode">
          <w:r w:rsidRPr="00B140B8">
            <w:rPr>
              <w:rFonts w:ascii="EngraversGothic BT" w:hAnsi="EngraversGothic BT"/>
              <w:sz w:val="18"/>
              <w:szCs w:val="18"/>
            </w:rPr>
            <w:t>12207-1693</w:t>
          </w:r>
        </w:smartTag>
      </w:smartTag>
    </w:p>
    <w:p w14:paraId="486B7CD0" w14:textId="77777777" w:rsidR="00335A82" w:rsidRPr="00B140B8" w:rsidRDefault="00335A82" w:rsidP="00335A82">
      <w:pPr>
        <w:rPr>
          <w:rFonts w:ascii="EngraversGothic BT" w:hAnsi="EngraversGothic BT"/>
          <w:sz w:val="18"/>
          <w:szCs w:val="18"/>
        </w:rPr>
      </w:pPr>
      <w:r w:rsidRPr="00B140B8">
        <w:rPr>
          <w:rFonts w:ascii="EngraversGothic BT" w:hAnsi="EngraversGothic BT"/>
          <w:sz w:val="18"/>
          <w:szCs w:val="18"/>
        </w:rPr>
        <w:t>Tel:  518-436-0751</w:t>
      </w:r>
    </w:p>
    <w:p w14:paraId="5EA016A5" w14:textId="77777777" w:rsidR="00335A82" w:rsidRPr="00B140B8" w:rsidRDefault="00335A82" w:rsidP="00335A82">
      <w:pPr>
        <w:rPr>
          <w:rFonts w:ascii="EngravrsRoman BT" w:hAnsi="EngravrsRoman BT"/>
          <w:sz w:val="18"/>
          <w:szCs w:val="18"/>
        </w:rPr>
      </w:pPr>
      <w:r w:rsidRPr="00B140B8">
        <w:rPr>
          <w:rFonts w:ascii="EngraversGothic BT" w:hAnsi="EngraversGothic BT"/>
          <w:sz w:val="18"/>
          <w:szCs w:val="18"/>
        </w:rPr>
        <w:t>Fax: 518-436-4751</w:t>
      </w:r>
    </w:p>
    <w:p w14:paraId="3E91A50A" w14:textId="77777777" w:rsidR="00335A82" w:rsidRDefault="00335A82" w:rsidP="00335A82"/>
    <w:p w14:paraId="74753617" w14:textId="4B1660AD" w:rsidR="00335A82" w:rsidRDefault="00763C81" w:rsidP="00335A82">
      <w:r>
        <w:fldChar w:fldCharType="begin"/>
      </w:r>
      <w:r>
        <w:instrText xml:space="preserve"> DATE  \@ "MMMM d, yyyy"  \* MERGEFORMAT </w:instrText>
      </w:r>
      <w:r>
        <w:fldChar w:fldCharType="separate"/>
      </w:r>
      <w:r w:rsidR="00E02AF6">
        <w:rPr>
          <w:noProof/>
        </w:rPr>
        <w:t>February 26, 2024</w:t>
      </w:r>
      <w:r>
        <w:fldChar w:fldCharType="end"/>
      </w:r>
    </w:p>
    <w:p w14:paraId="4FA8F8CE" w14:textId="77777777" w:rsidR="00763C81" w:rsidRDefault="00763C81" w:rsidP="00335A82"/>
    <w:p w14:paraId="205DD8C5" w14:textId="77777777" w:rsidR="00763C81" w:rsidRDefault="00763C81" w:rsidP="00335A82"/>
    <w:p w14:paraId="51A8BE7A" w14:textId="53680ED8" w:rsidR="00334703" w:rsidRDefault="00335A82" w:rsidP="00334703">
      <w:pPr>
        <w:tabs>
          <w:tab w:val="left" w:pos="-1440"/>
        </w:tabs>
        <w:ind w:left="720" w:right="5310" w:hanging="720"/>
        <w:jc w:val="both"/>
      </w:pPr>
      <w:r>
        <w:t>RE:</w:t>
      </w:r>
      <w:r>
        <w:tab/>
        <w:t xml:space="preserve">AN ACT </w:t>
      </w:r>
      <w:r w:rsidR="00334703">
        <w:t>to amend the public health law, in relation to allowing a notice of dense breast tissue to be considered a determination of medical necessity for coverage of a breast ultrasound</w:t>
      </w:r>
    </w:p>
    <w:p w14:paraId="4B51C08D" w14:textId="3DC2CD29" w:rsidR="00335A82" w:rsidRPr="00763C81" w:rsidRDefault="00335A82" w:rsidP="00763C81">
      <w:pPr>
        <w:tabs>
          <w:tab w:val="left" w:pos="-1440"/>
        </w:tabs>
        <w:ind w:left="720" w:right="5310" w:hanging="720"/>
        <w:jc w:val="both"/>
        <w:rPr>
          <w:bCs/>
        </w:rPr>
      </w:pPr>
    </w:p>
    <w:p w14:paraId="1A54C9E6" w14:textId="77777777" w:rsidR="00763C81" w:rsidRDefault="00763C81" w:rsidP="00763C81"/>
    <w:p w14:paraId="41D24CE1" w14:textId="77777777" w:rsidR="00763C81" w:rsidRDefault="00763C81" w:rsidP="00763C81"/>
    <w:p w14:paraId="3BDC22CA" w14:textId="4EE73AB6" w:rsidR="00763C81" w:rsidRDefault="00334703" w:rsidP="00763C81">
      <w:pPr>
        <w:jc w:val="center"/>
      </w:pPr>
      <w:r>
        <w:t>A.</w:t>
      </w:r>
      <w:r w:rsidR="0022015C">
        <w:t>2516</w:t>
      </w:r>
      <w:r>
        <w:t xml:space="preserve"> (Paulin</w:t>
      </w:r>
      <w:r w:rsidR="00763C81">
        <w:t>)</w:t>
      </w:r>
    </w:p>
    <w:p w14:paraId="072F6B10" w14:textId="6CC6031B" w:rsidR="00763C81" w:rsidRDefault="00334703" w:rsidP="00763C81">
      <w:pPr>
        <w:jc w:val="center"/>
      </w:pPr>
      <w:r>
        <w:t>S.</w:t>
      </w:r>
      <w:r w:rsidR="0022015C">
        <w:t>2917</w:t>
      </w:r>
      <w:r>
        <w:t xml:space="preserve"> (</w:t>
      </w:r>
      <w:r w:rsidR="0022015C">
        <w:t>Cleare</w:t>
      </w:r>
      <w:r w:rsidR="00763C81">
        <w:t>)</w:t>
      </w:r>
    </w:p>
    <w:p w14:paraId="412B09D2" w14:textId="77777777" w:rsidR="00763C81" w:rsidRDefault="00763C81" w:rsidP="00763C81"/>
    <w:p w14:paraId="2B24A24B" w14:textId="77777777" w:rsidR="00763C81" w:rsidRDefault="00763C81" w:rsidP="00763C81">
      <w:pPr>
        <w:jc w:val="center"/>
        <w:rPr>
          <w:b/>
          <w:u w:val="single"/>
        </w:rPr>
      </w:pPr>
      <w:r>
        <w:rPr>
          <w:b/>
          <w:u w:val="single"/>
        </w:rPr>
        <w:t>MEMORANDUM IN OPPOSITION</w:t>
      </w:r>
    </w:p>
    <w:p w14:paraId="3772EB64" w14:textId="77777777" w:rsidR="00763C81" w:rsidRDefault="00763C81" w:rsidP="00763C81"/>
    <w:p w14:paraId="4EBD347E" w14:textId="77777777" w:rsidR="00763C81" w:rsidRDefault="00763C81" w:rsidP="00763C81">
      <w:pPr>
        <w:jc w:val="center"/>
      </w:pPr>
      <w:r>
        <w:t>Submitted on behalf of the Blue Cross and Blue Shield Plans</w:t>
      </w:r>
    </w:p>
    <w:p w14:paraId="4B93A575" w14:textId="77777777" w:rsidR="00763C81" w:rsidRDefault="00763C81" w:rsidP="00763C81"/>
    <w:p w14:paraId="6EA024E4" w14:textId="0F5689BA" w:rsidR="001B04A7" w:rsidRDefault="00763C81" w:rsidP="001B04A7">
      <w:pPr>
        <w:jc w:val="both"/>
      </w:pPr>
      <w:r>
        <w:t xml:space="preserve">The New York State Conference of Blue Cross and Blue Shield Plans opposes enactment of this bill because it is unnecessary </w:t>
      </w:r>
      <w:r w:rsidR="00554397">
        <w:t>in light of</w:t>
      </w:r>
      <w:r w:rsidR="002D62CE">
        <w:t xml:space="preserve"> </w:t>
      </w:r>
      <w:r w:rsidR="006E764B">
        <w:t>existing</w:t>
      </w:r>
      <w:r w:rsidR="00554397">
        <w:t xml:space="preserve"> state and</w:t>
      </w:r>
      <w:r w:rsidR="006E764B">
        <w:t xml:space="preserve"> </w:t>
      </w:r>
      <w:r w:rsidR="002D62CE">
        <w:t>federal requirements</w:t>
      </w:r>
      <w:r>
        <w:t xml:space="preserve">. </w:t>
      </w:r>
      <w:r w:rsidR="00CC0C99">
        <w:t>Specifically, this bill would require that, where a provider of mammography services provides notice to a patient that such patient’s mammogram demonstrates dense breast tissue, such notice will be considered a determination of medical necessity for the purposes of determining insurance coverage</w:t>
      </w:r>
      <w:r w:rsidR="002A2584">
        <w:t xml:space="preserve"> for a breast ultrasound</w:t>
      </w:r>
      <w:r w:rsidR="00CC0C99">
        <w:t>.</w:t>
      </w:r>
      <w:r>
        <w:t xml:space="preserve"> While the goal of the bill</w:t>
      </w:r>
      <w:r w:rsidR="00CE5F5C">
        <w:t xml:space="preserve"> –</w:t>
      </w:r>
      <w:r w:rsidR="00370B50">
        <w:t xml:space="preserve"> expediting the provision of a breast ultrasound where a mammogram indicates that a patient has dense breast tissue</w:t>
      </w:r>
      <w:r w:rsidR="00CE5F5C">
        <w:t xml:space="preserve"> –</w:t>
      </w:r>
      <w:r>
        <w:t xml:space="preserve"> is laudable, </w:t>
      </w:r>
      <w:r w:rsidR="00DA1475">
        <w:t xml:space="preserve">the Affordable Care Act (“ACA”) </w:t>
      </w:r>
      <w:r w:rsidR="00C44B5D">
        <w:t xml:space="preserve">established a process for determining </w:t>
      </w:r>
      <w:r w:rsidR="00DA1475">
        <w:t xml:space="preserve">coverage of tests recommended by independent medical experts </w:t>
      </w:r>
      <w:r w:rsidR="00554397">
        <w:t>who regularly review guidelines</w:t>
      </w:r>
      <w:r>
        <w:t>.</w:t>
      </w:r>
      <w:r w:rsidR="00234569">
        <w:t xml:space="preserve"> </w:t>
      </w:r>
      <w:r w:rsidR="00B22CA5">
        <w:t xml:space="preserve">Additionally, New York State presently requires coverage for breast cancer screenings in accordance with federally accepted clinical guidelines and prohibits </w:t>
      </w:r>
      <w:r w:rsidR="00797AEA">
        <w:t>cost-sharing</w:t>
      </w:r>
      <w:r w:rsidR="00B22CA5">
        <w:t xml:space="preserve"> for any covered sc</w:t>
      </w:r>
      <w:r w:rsidR="00B22CA5" w:rsidRPr="00554397">
        <w:t>reening and diagnostic imaging for the detection of breast cancer</w:t>
      </w:r>
      <w:r w:rsidR="00B22CA5">
        <w:t>.</w:t>
      </w:r>
    </w:p>
    <w:p w14:paraId="6E7B40B9" w14:textId="77777777" w:rsidR="001B04A7" w:rsidRDefault="001B04A7" w:rsidP="001B04A7">
      <w:pPr>
        <w:jc w:val="both"/>
      </w:pPr>
    </w:p>
    <w:p w14:paraId="096EDE5D" w14:textId="17A75C18" w:rsidR="001B04A7" w:rsidRDefault="001B04A7" w:rsidP="001B04A7">
      <w:pPr>
        <w:jc w:val="both"/>
      </w:pPr>
      <w:r>
        <w:t>Since 2010, the ACA has required health plans to cover preventive ca</w:t>
      </w:r>
      <w:r w:rsidR="00797AEA">
        <w:t>r</w:t>
      </w:r>
      <w:r>
        <w:t xml:space="preserve">e and screenings, including those with an “A” or “B” rating from the </w:t>
      </w:r>
      <w:r w:rsidRPr="00E62056">
        <w:t>United States Preventive Services Task Force (</w:t>
      </w:r>
      <w:r>
        <w:t>“</w:t>
      </w:r>
      <w:r w:rsidRPr="00E62056">
        <w:t>USPSTF</w:t>
      </w:r>
      <w:r>
        <w:t>”</w:t>
      </w:r>
      <w:r w:rsidRPr="00E62056">
        <w:t>)</w:t>
      </w:r>
      <w:r>
        <w:t xml:space="preserve"> and, for women, additional screenings provided for in the comprehensive guidelines supported by the Health and Resources and Services Administration (“HRSA”).  The USPSTF</w:t>
      </w:r>
      <w:r w:rsidRPr="002D62CE">
        <w:t xml:space="preserve"> </w:t>
      </w:r>
      <w:r w:rsidRPr="00510527">
        <w:t xml:space="preserve">is an independent, volunteer panel of national experts in disease prevention and evidence-based </w:t>
      </w:r>
      <w:r w:rsidRPr="00510527">
        <w:lastRenderedPageBreak/>
        <w:t>medicine</w:t>
      </w:r>
      <w:r>
        <w:t xml:space="preserve">, working to improve health </w:t>
      </w:r>
      <w:r w:rsidRPr="00510527">
        <w:t>of people nationwide by making evidence-based recommendations about clinical preventive services.</w:t>
      </w:r>
      <w:r w:rsidRPr="00510527">
        <w:rPr>
          <w:rStyle w:val="FootnoteReference"/>
          <w:vertAlign w:val="superscript"/>
        </w:rPr>
        <w:footnoteReference w:id="1"/>
      </w:r>
      <w:r>
        <w:t xml:space="preserve">  HRSA is an agency of the U.S. Department of Health and Human Services, tasked administering programs to provide equitable health care in the nation’s highest-need communities.</w:t>
      </w:r>
      <w:r w:rsidRPr="00F4152B">
        <w:rPr>
          <w:rStyle w:val="FootnoteReference"/>
          <w:vertAlign w:val="superscript"/>
        </w:rPr>
        <w:footnoteReference w:id="2"/>
      </w:r>
      <w:r>
        <w:t xml:space="preserve">  Pursuant to the ACA (</w:t>
      </w:r>
      <w:r w:rsidR="00C44B5D">
        <w:t xml:space="preserve">which has been </w:t>
      </w:r>
      <w:r>
        <w:t xml:space="preserve">incorporated into </w:t>
      </w:r>
      <w:r w:rsidR="00C44B5D">
        <w:t xml:space="preserve">New York </w:t>
      </w:r>
      <w:r>
        <w:t>state law), health plans must cover preventive care services recommended by the USPSTF and HRSA</w:t>
      </w:r>
      <w:r w:rsidRPr="00E62056">
        <w:t>.</w:t>
      </w:r>
      <w:r w:rsidRPr="002D62CE">
        <w:rPr>
          <w:rStyle w:val="FootnoteReference"/>
          <w:vertAlign w:val="superscript"/>
        </w:rPr>
        <w:footnoteReference w:id="3"/>
      </w:r>
      <w:r>
        <w:t xml:space="preserve">  These two organizations both have recommendations regarding screening for breast cancer, which is covered without cost-sharing as preventive care.  </w:t>
      </w:r>
      <w:r w:rsidR="00B22CA5">
        <w:t>The</w:t>
      </w:r>
      <w:r w:rsidRPr="00554397">
        <w:t xml:space="preserve"> U</w:t>
      </w:r>
      <w:r>
        <w:t>SPSTF recommendations concluded that</w:t>
      </w:r>
      <w:r w:rsidRPr="00554397">
        <w:t xml:space="preserve"> </w:t>
      </w:r>
      <w:r>
        <w:t xml:space="preserve">“current </w:t>
      </w:r>
      <w:r w:rsidRPr="00554397">
        <w:t xml:space="preserve">evidence is insufficient to assess the balance of benefits and harms of adjunctive screening for breast cancer using breast ultrasonography, magnetic resonance imaging, </w:t>
      </w:r>
      <w:r>
        <w:t>DBT [dense breast tomosynthesis]</w:t>
      </w:r>
      <w:r w:rsidRPr="00554397">
        <w:t>, or other methods in women identified to have dense breasts on an otherwise negative screening mammogram.</w:t>
      </w:r>
      <w:r>
        <w:t>”</w:t>
      </w:r>
      <w:r w:rsidRPr="00554397">
        <w:rPr>
          <w:rStyle w:val="FootnoteReference"/>
          <w:vertAlign w:val="superscript"/>
        </w:rPr>
        <w:footnoteReference w:id="4"/>
      </w:r>
      <w:r>
        <w:t xml:space="preserve">  To change the law to require coverage of screenings not currently recommended by USPSTF or HRSA disregards these organizations’ expertise in reviewing the medical evidence and making clinically-appropriate recommendations.</w:t>
      </w:r>
    </w:p>
    <w:p w14:paraId="0B1D0AD5" w14:textId="02CA0A4D" w:rsidR="00CB4AEB" w:rsidRDefault="00CB4AEB" w:rsidP="00E62056">
      <w:pPr>
        <w:jc w:val="both"/>
      </w:pPr>
    </w:p>
    <w:p w14:paraId="5B4036F8" w14:textId="6FB5556E" w:rsidR="005F14F8" w:rsidRDefault="0087396C" w:rsidP="00E62056">
      <w:pPr>
        <w:jc w:val="both"/>
      </w:pPr>
      <w:r>
        <w:t xml:space="preserve">Further, </w:t>
      </w:r>
      <w:r w:rsidR="00554397">
        <w:t xml:space="preserve">since 2017, New York </w:t>
      </w:r>
      <w:r w:rsidR="001B04A7">
        <w:t xml:space="preserve">has required that covered </w:t>
      </w:r>
      <w:r w:rsidR="00554397">
        <w:t>s</w:t>
      </w:r>
      <w:r w:rsidR="00554397" w:rsidRPr="00554397">
        <w:t>creening and diagnostic imaging for</w:t>
      </w:r>
      <w:r w:rsidR="00554397">
        <w:t xml:space="preserve"> the detection of breast cancer –</w:t>
      </w:r>
      <w:r w:rsidR="00554397" w:rsidRPr="00554397">
        <w:t xml:space="preserve"> including diagnostic mammograms, breast ultrasounds, or magnetic resonance imaging</w:t>
      </w:r>
      <w:r w:rsidR="00554397">
        <w:t xml:space="preserve"> – cannot be subject to copayments or deductibles.</w:t>
      </w:r>
      <w:r w:rsidR="00554397" w:rsidRPr="00554397">
        <w:rPr>
          <w:rStyle w:val="FootnoteReference"/>
          <w:vertAlign w:val="superscript"/>
        </w:rPr>
        <w:footnoteReference w:id="5"/>
      </w:r>
      <w:r w:rsidR="00554397">
        <w:t xml:space="preserve"> While ultrasounds are covered when determined to be medically necessary, the State Department of Health has noted that “[g]</w:t>
      </w:r>
      <w:proofErr w:type="spellStart"/>
      <w:r w:rsidR="00554397" w:rsidRPr="00554397">
        <w:t>uidelines</w:t>
      </w:r>
      <w:proofErr w:type="spellEnd"/>
      <w:r w:rsidR="00554397" w:rsidRPr="00554397">
        <w:t xml:space="preserve"> vary by organizations and professional societies about the situations in which women, including women with dense breasts, should receive breast ultrasounds or breast MRIs for screening or diagnosis. Research is underway to better define the role of these tests in breast cancer screening and diagnosis.</w:t>
      </w:r>
      <w:r w:rsidR="00554397">
        <w:t>”</w:t>
      </w:r>
      <w:r w:rsidR="00554397" w:rsidRPr="00554397">
        <w:rPr>
          <w:rStyle w:val="FootnoteReference"/>
          <w:vertAlign w:val="superscript"/>
        </w:rPr>
        <w:footnoteReference w:id="6"/>
      </w:r>
      <w:r w:rsidR="00CC0C99">
        <w:t xml:space="preserve"> </w:t>
      </w:r>
    </w:p>
    <w:p w14:paraId="518E8C29" w14:textId="77777777" w:rsidR="005F14F8" w:rsidRDefault="005F14F8" w:rsidP="00E62056">
      <w:pPr>
        <w:jc w:val="both"/>
      </w:pPr>
    </w:p>
    <w:p w14:paraId="0E7E2C92" w14:textId="0CE97B90" w:rsidR="00554397" w:rsidRDefault="00C44B5D" w:rsidP="00E62056">
      <w:pPr>
        <w:jc w:val="both"/>
      </w:pPr>
      <w:r>
        <w:t>Specifically,</w:t>
      </w:r>
      <w:r w:rsidR="00597448">
        <w:t xml:space="preserve"> in 2021, the American College of Radiology noted that ultrasounds are only “usually appropriate” for average- and intermediate-risk females with dense </w:t>
      </w:r>
      <w:proofErr w:type="gramStart"/>
      <w:r w:rsidR="00597448">
        <w:t>breasts, and</w:t>
      </w:r>
      <w:proofErr w:type="gramEnd"/>
      <w:r w:rsidR="00597448">
        <w:t xml:space="preserve"> noted disagreement with regard to the former.</w:t>
      </w:r>
      <w:r w:rsidR="00597448" w:rsidRPr="00CB7854">
        <w:rPr>
          <w:rStyle w:val="FootnoteReference"/>
          <w:vertAlign w:val="superscript"/>
        </w:rPr>
        <w:footnoteReference w:id="7"/>
      </w:r>
      <w:r w:rsidR="005F14F8">
        <w:t xml:space="preserve"> Similarly, the American College of Obstetricians and Gynecologists stated that, “[w]</w:t>
      </w:r>
      <w:r w:rsidR="005F14F8" w:rsidRPr="005F14F8">
        <w:t>omen with dense breasts have a modestly increased risk of breast cancer and experience reduced sensitivity of mammography to detect breast cancer. However, evidence is lacking to advocate for additional testing until there are clinically validated data that indicate improved screening outcomes</w:t>
      </w:r>
      <w:r w:rsidR="005F14F8">
        <w:t>….</w:t>
      </w:r>
      <w:r w:rsidR="005F14F8" w:rsidRPr="005F14F8">
        <w:t xml:space="preserve">The American College of Obstetricians and Gynecologists does not recommend routine use of alternative or adjunctive tests to screening mammography in women with dense breasts who are asymptomatic and have no additional risk </w:t>
      </w:r>
      <w:r w:rsidR="005F14F8" w:rsidRPr="005F14F8">
        <w:lastRenderedPageBreak/>
        <w:t>factors.</w:t>
      </w:r>
      <w:r w:rsidR="005F14F8">
        <w:t>”</w:t>
      </w:r>
      <w:r w:rsidR="005F14F8" w:rsidRPr="00CB7854">
        <w:rPr>
          <w:rStyle w:val="FootnoteReference"/>
          <w:sz w:val="22"/>
          <w:szCs w:val="22"/>
          <w:vertAlign w:val="superscript"/>
        </w:rPr>
        <w:footnoteReference w:id="8"/>
      </w:r>
      <w:r w:rsidR="005F14F8">
        <w:t xml:space="preserve"> Therefore, current law that requires patient notifications regarding dense breast tissue to recommend that such patients “</w:t>
      </w:r>
      <w:r w:rsidR="005F14F8" w:rsidRPr="005F14F8">
        <w:t xml:space="preserve">ask </w:t>
      </w:r>
      <w:r w:rsidR="005F14F8">
        <w:t>[their]</w:t>
      </w:r>
      <w:r w:rsidR="005F14F8" w:rsidRPr="005F14F8">
        <w:t xml:space="preserve"> doctor if more screening tests might be useful, based on </w:t>
      </w:r>
      <w:r w:rsidR="005F14F8">
        <w:t>[the individual patient’s]</w:t>
      </w:r>
      <w:r w:rsidR="005F14F8" w:rsidRPr="005F14F8">
        <w:t xml:space="preserve"> risk</w:t>
      </w:r>
      <w:r w:rsidR="005F14F8">
        <w:t>” should not be contradicted – as such mandates may result in unnecessary and expensive testing.</w:t>
      </w:r>
      <w:r w:rsidR="005F14F8" w:rsidRPr="00CB7854">
        <w:rPr>
          <w:rStyle w:val="FootnoteReference"/>
          <w:vertAlign w:val="superscript"/>
        </w:rPr>
        <w:footnoteReference w:id="9"/>
      </w:r>
      <w:r w:rsidR="005F14F8" w:rsidRPr="00CB7854">
        <w:rPr>
          <w:vertAlign w:val="superscript"/>
        </w:rPr>
        <w:t xml:space="preserve"> </w:t>
      </w:r>
      <w:r>
        <w:t>Finally</w:t>
      </w:r>
      <w:r w:rsidR="005F14F8">
        <w:t>,</w:t>
      </w:r>
      <w:r w:rsidR="00CC0C99">
        <w:t xml:space="preserve"> it is important to note that USPSTF and HRSA guidelines establish minimum coverage requirements, and ultrasounds following a mammographic determination of dense breast tissue are frequently determined to be medically necessary; and are therefore often covered services that are not subject to </w:t>
      </w:r>
      <w:r w:rsidR="00B22CA5">
        <w:t>cost-sharing</w:t>
      </w:r>
      <w:r w:rsidR="00CC0C99">
        <w:t xml:space="preserve">. </w:t>
      </w:r>
      <w:r>
        <w:t>That said, those determinations are made on a case</w:t>
      </w:r>
      <w:r w:rsidR="00DE4698">
        <w:t>-</w:t>
      </w:r>
      <w:r>
        <w:t>by</w:t>
      </w:r>
      <w:r w:rsidR="00DE4698">
        <w:t>-</w:t>
      </w:r>
      <w:r>
        <w:t xml:space="preserve">case basis, considering the patients symptoms and risks. </w:t>
      </w:r>
    </w:p>
    <w:p w14:paraId="767C6F5E" w14:textId="77777777" w:rsidR="00554397" w:rsidRDefault="00554397" w:rsidP="00E62056">
      <w:pPr>
        <w:jc w:val="both"/>
      </w:pPr>
    </w:p>
    <w:p w14:paraId="1457F3DD" w14:textId="172E1DD0" w:rsidR="00B22CA5" w:rsidRDefault="00992D83" w:rsidP="00B22CA5">
      <w:pPr>
        <w:jc w:val="both"/>
      </w:pPr>
      <w:r>
        <w:t xml:space="preserve">As </w:t>
      </w:r>
      <w:r w:rsidR="00B22CA5">
        <w:t xml:space="preserve">this bill would expand the scope of benefits required by law by adding coverage for additional screenings that are </w:t>
      </w:r>
      <w:r w:rsidR="002A2584">
        <w:t>not currently recommend</w:t>
      </w:r>
      <w:r w:rsidR="00B22CA5">
        <w:t xml:space="preserve"> by the USPSTF or HRSA,</w:t>
      </w:r>
      <w:r w:rsidR="00B22CA5" w:rsidRPr="0047437F">
        <w:t xml:space="preserve"> this legislation would create an unfunded mandate not just </w:t>
      </w:r>
      <w:r w:rsidR="00B22CA5">
        <w:t>for commercial health insurance</w:t>
      </w:r>
      <w:r w:rsidR="00B22CA5" w:rsidRPr="0047437F">
        <w:t>, but on the entire State</w:t>
      </w:r>
      <w:r w:rsidR="00B22CA5">
        <w:t>.  Under the ACA, the State must defray the full cost of any State mandates</w:t>
      </w:r>
      <w:r w:rsidR="00B22CA5" w:rsidRPr="0047437F">
        <w:t xml:space="preserve"> that are </w:t>
      </w:r>
      <w:r w:rsidR="00B22CA5">
        <w:t>in addition to</w:t>
      </w:r>
      <w:r w:rsidR="00B22CA5" w:rsidRPr="0047437F">
        <w:t xml:space="preserve"> EHB</w:t>
      </w:r>
      <w:r w:rsidR="00B22CA5">
        <w:t xml:space="preserve"> for all individual and small group health insurance coverage</w:t>
      </w:r>
      <w:r w:rsidR="00B22CA5" w:rsidRPr="0047437F">
        <w:t>,</w:t>
      </w:r>
      <w:r w:rsidR="00B22CA5" w:rsidRPr="002A2584">
        <w:rPr>
          <w:rStyle w:val="FootnoteReference"/>
          <w:vertAlign w:val="superscript"/>
        </w:rPr>
        <w:footnoteReference w:id="10"/>
      </w:r>
      <w:r w:rsidR="00B22CA5" w:rsidRPr="0047437F">
        <w:t xml:space="preserve"> meaning </w:t>
      </w:r>
      <w:r w:rsidR="00B22CA5">
        <w:t xml:space="preserve">the cost of this additional </w:t>
      </w:r>
      <w:r w:rsidR="002A2584">
        <w:t>benefit</w:t>
      </w:r>
      <w:r w:rsidR="00B22CA5">
        <w:t xml:space="preserve"> for those markets would</w:t>
      </w:r>
      <w:r w:rsidR="00B22CA5" w:rsidRPr="0047437F">
        <w:t xml:space="preserve"> be entirely funded by New York taxpayer dollars.  </w:t>
      </w:r>
    </w:p>
    <w:p w14:paraId="39D7E54D" w14:textId="77777777" w:rsidR="00E6138A" w:rsidRDefault="00E6138A" w:rsidP="00E62056">
      <w:pPr>
        <w:jc w:val="both"/>
      </w:pPr>
    </w:p>
    <w:p w14:paraId="00C46BB7" w14:textId="77777777" w:rsidR="00992DCB" w:rsidRDefault="00992DCB" w:rsidP="00992DCB">
      <w:pPr>
        <w:jc w:val="both"/>
      </w:pPr>
      <w:r>
        <w:t>For the foregoing reasons, the New York State Conference of Blue Cross and Blue Shield Plans opposes this bill and urges that it not be enacted.</w:t>
      </w:r>
    </w:p>
    <w:p w14:paraId="39A45460" w14:textId="77777777" w:rsidR="00335A82" w:rsidRDefault="00335A82" w:rsidP="00335A82">
      <w:pPr>
        <w:ind w:right="-5760"/>
      </w:pPr>
    </w:p>
    <w:p w14:paraId="7045BC5E" w14:textId="77777777" w:rsidR="00335A82" w:rsidRDefault="00335A82" w:rsidP="00335A82">
      <w:pPr>
        <w:ind w:right="-5760"/>
      </w:pPr>
      <w:r>
        <w:t>Respectfully submitted,</w:t>
      </w:r>
    </w:p>
    <w:p w14:paraId="3E5845A7" w14:textId="77777777" w:rsidR="00335A82" w:rsidRDefault="00335A82" w:rsidP="00335A82">
      <w:pPr>
        <w:ind w:right="-5760"/>
      </w:pPr>
    </w:p>
    <w:p w14:paraId="5B74F9E6" w14:textId="77777777" w:rsidR="00335A82" w:rsidRDefault="00335A82" w:rsidP="00335A82">
      <w:pPr>
        <w:ind w:right="-5760"/>
      </w:pPr>
    </w:p>
    <w:p w14:paraId="31A3CB6A" w14:textId="77777777" w:rsidR="00335A82" w:rsidRDefault="00335A82" w:rsidP="00335A82">
      <w:pPr>
        <w:ind w:right="-5760"/>
      </w:pPr>
      <w:r>
        <w:t>HINMAN STRAUB ADVISORS, LLC</w:t>
      </w:r>
    </w:p>
    <w:p w14:paraId="73BF79B2" w14:textId="77777777" w:rsidR="00335A82" w:rsidRDefault="00335A82" w:rsidP="00335A82">
      <w:pPr>
        <w:ind w:right="-5760"/>
      </w:pPr>
      <w:r>
        <w:t>Legislative Counsel for the Blue Cross and Blue Shield Plans</w:t>
      </w:r>
    </w:p>
    <w:p w14:paraId="13AC99DA" w14:textId="77777777" w:rsidR="00E5274D" w:rsidRDefault="00E5274D" w:rsidP="006C7AB1">
      <w:pPr>
        <w:ind w:right="-5760"/>
        <w:rPr>
          <w:sz w:val="16"/>
        </w:rPr>
      </w:pPr>
    </w:p>
    <w:p w14:paraId="5F970128" w14:textId="77777777" w:rsidR="00F379C4" w:rsidRDefault="00F379C4" w:rsidP="006C7AB1">
      <w:pPr>
        <w:ind w:right="-5760"/>
        <w:rPr>
          <w:sz w:val="16"/>
        </w:rPr>
      </w:pPr>
    </w:p>
    <w:p w14:paraId="3F1447E1" w14:textId="77777777" w:rsidR="009469B1" w:rsidRDefault="009469B1" w:rsidP="006C7AB1">
      <w:pPr>
        <w:ind w:right="-5760"/>
        <w:rPr>
          <w:sz w:val="16"/>
        </w:rPr>
      </w:pPr>
    </w:p>
    <w:p w14:paraId="08164F3E" w14:textId="77777777" w:rsidR="009469B1" w:rsidRDefault="009469B1" w:rsidP="006C7AB1">
      <w:pPr>
        <w:ind w:right="-5760"/>
        <w:rPr>
          <w:sz w:val="16"/>
        </w:rPr>
      </w:pPr>
    </w:p>
    <w:p w14:paraId="5AEAC275" w14:textId="77777777" w:rsidR="0076109B" w:rsidRDefault="0076109B" w:rsidP="006C7AB1">
      <w:pPr>
        <w:ind w:right="-5760"/>
        <w:rPr>
          <w:sz w:val="16"/>
        </w:rPr>
      </w:pPr>
    </w:p>
    <w:p w14:paraId="7B32E089" w14:textId="6B2286C0" w:rsidR="00A61775" w:rsidRPr="009469B1" w:rsidRDefault="00A61775" w:rsidP="00A61775">
      <w:pPr>
        <w:spacing w:line="180" w:lineRule="exact"/>
        <w:ind w:right="-5760"/>
        <w:rPr>
          <w:sz w:val="16"/>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B273B2">
        <w:rPr>
          <w:rFonts w:ascii="Arial" w:hAnsi="Arial" w:cs="Arial"/>
          <w:sz w:val="16"/>
        </w:rPr>
        <w:t>4888-7818-5636, v. 1</w:t>
      </w:r>
      <w:r>
        <w:rPr>
          <w:rFonts w:ascii="Arial" w:hAnsi="Arial" w:cs="Arial"/>
          <w:sz w:val="16"/>
        </w:rPr>
        <w:fldChar w:fldCharType="end"/>
      </w:r>
    </w:p>
    <w:sectPr w:rsidR="00A61775" w:rsidRPr="009469B1" w:rsidSect="0089185F">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440" w:right="1440" w:bottom="1440" w:left="1440" w:header="1440" w:footer="1354" w:gutter="0"/>
      <w:paperSrc w:first="259" w:other="26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ED639" w14:textId="77777777" w:rsidR="0089185F" w:rsidRDefault="0089185F">
      <w:r>
        <w:separator/>
      </w:r>
    </w:p>
  </w:endnote>
  <w:endnote w:type="continuationSeparator" w:id="0">
    <w:p w14:paraId="44371C04" w14:textId="77777777" w:rsidR="0089185F" w:rsidRDefault="00891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EngraversGothic BT">
    <w:panose1 w:val="020B0507020203020204"/>
    <w:charset w:val="00"/>
    <w:family w:val="swiss"/>
    <w:pitch w:val="variable"/>
    <w:sig w:usb0="00000087" w:usb1="00000000" w:usb2="00000000" w:usb3="00000000" w:csb0="0000001B" w:csb1="00000000"/>
  </w:font>
  <w:font w:name="EngravrsRoman BT">
    <w:altName w:val="Century"/>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5B062" w14:textId="77777777" w:rsidR="00597448" w:rsidRDefault="005974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72BC0" w14:textId="77777777" w:rsidR="004136FF" w:rsidRDefault="004136FF">
    <w:pPr>
      <w:spacing w:line="240" w:lineRule="exact"/>
    </w:pPr>
  </w:p>
  <w:p w14:paraId="5A162736" w14:textId="77777777" w:rsidR="004136FF" w:rsidRPr="007A74BF" w:rsidRDefault="004136FF">
    <w:pP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3FFD" w14:textId="77777777" w:rsidR="00597448" w:rsidRDefault="005974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6412A" w14:textId="77777777" w:rsidR="0089185F" w:rsidRDefault="0089185F">
      <w:r>
        <w:separator/>
      </w:r>
    </w:p>
  </w:footnote>
  <w:footnote w:type="continuationSeparator" w:id="0">
    <w:p w14:paraId="7DAF1B5C" w14:textId="77777777" w:rsidR="0089185F" w:rsidRDefault="0089185F">
      <w:r>
        <w:continuationSeparator/>
      </w:r>
    </w:p>
  </w:footnote>
  <w:footnote w:id="1">
    <w:p w14:paraId="7D5551A6" w14:textId="63A7B1FF" w:rsidR="001B04A7" w:rsidRPr="00B22CA5" w:rsidRDefault="001B04A7" w:rsidP="001B04A7">
      <w:pPr>
        <w:pStyle w:val="FootnoteText"/>
        <w:rPr>
          <w:rFonts w:ascii="Times New Roman" w:hAnsi="Times New Roman"/>
          <w:lang w:val="en-US"/>
        </w:rPr>
      </w:pPr>
      <w:r w:rsidRPr="00510527">
        <w:rPr>
          <w:rStyle w:val="FootnoteReference"/>
          <w:vertAlign w:val="superscript"/>
        </w:rPr>
        <w:footnoteRef/>
      </w:r>
      <w:r w:rsidRPr="00510527">
        <w:t xml:space="preserve"> </w:t>
      </w:r>
      <w:r w:rsidRPr="00B22CA5">
        <w:rPr>
          <w:rFonts w:ascii="Times New Roman" w:hAnsi="Times New Roman"/>
          <w:lang w:val="en-US"/>
        </w:rPr>
        <w:t xml:space="preserve">United States Preventive Services Task Force, </w:t>
      </w:r>
      <w:r w:rsidR="00797AEA">
        <w:rPr>
          <w:rFonts w:ascii="Times New Roman" w:hAnsi="Times New Roman"/>
          <w:lang w:val="en-US"/>
        </w:rPr>
        <w:t>“</w:t>
      </w:r>
      <w:r w:rsidRPr="00B22CA5">
        <w:rPr>
          <w:rFonts w:ascii="Times New Roman" w:hAnsi="Times New Roman"/>
          <w:lang w:val="en-US"/>
        </w:rPr>
        <w:t>About the USPSTF,</w:t>
      </w:r>
      <w:r w:rsidR="00797AEA">
        <w:rPr>
          <w:rFonts w:ascii="Times New Roman" w:hAnsi="Times New Roman"/>
          <w:lang w:val="en-US"/>
        </w:rPr>
        <w:t>”</w:t>
      </w:r>
      <w:r w:rsidRPr="00B22CA5">
        <w:rPr>
          <w:rFonts w:ascii="Times New Roman" w:hAnsi="Times New Roman"/>
          <w:lang w:val="en-US"/>
        </w:rPr>
        <w:t xml:space="preserve"> </w:t>
      </w:r>
      <w:r w:rsidRPr="00797AEA">
        <w:rPr>
          <w:rFonts w:ascii="Times New Roman" w:hAnsi="Times New Roman"/>
          <w:i/>
          <w:iCs/>
          <w:lang w:val="en-US"/>
        </w:rPr>
        <w:t>available at</w:t>
      </w:r>
      <w:r w:rsidRPr="00B22CA5">
        <w:rPr>
          <w:rFonts w:ascii="Times New Roman" w:hAnsi="Times New Roman"/>
          <w:lang w:val="en-US"/>
        </w:rPr>
        <w:t xml:space="preserve"> https://www.uspreventiveservicestaskforce.org/uspstf/.</w:t>
      </w:r>
    </w:p>
  </w:footnote>
  <w:footnote w:id="2">
    <w:p w14:paraId="4D2A5287" w14:textId="1BB88EE5" w:rsidR="001B04A7" w:rsidRPr="00B22CA5" w:rsidRDefault="001B04A7" w:rsidP="001B04A7">
      <w:pPr>
        <w:pStyle w:val="FootnoteText"/>
        <w:rPr>
          <w:rFonts w:ascii="Times New Roman" w:hAnsi="Times New Roman"/>
          <w:lang w:val="en-US"/>
        </w:rPr>
      </w:pPr>
      <w:r w:rsidRPr="00B22CA5">
        <w:rPr>
          <w:rStyle w:val="FootnoteReference"/>
          <w:rFonts w:ascii="Times New Roman" w:hAnsi="Times New Roman"/>
          <w:vertAlign w:val="superscript"/>
        </w:rPr>
        <w:footnoteRef/>
      </w:r>
      <w:r w:rsidRPr="00B22CA5">
        <w:rPr>
          <w:rFonts w:ascii="Times New Roman" w:hAnsi="Times New Roman"/>
          <w:vertAlign w:val="superscript"/>
        </w:rPr>
        <w:t xml:space="preserve"> </w:t>
      </w:r>
      <w:r w:rsidRPr="00B22CA5">
        <w:rPr>
          <w:rFonts w:ascii="Times New Roman" w:hAnsi="Times New Roman"/>
          <w:lang w:val="en-US"/>
        </w:rPr>
        <w:t xml:space="preserve">Health Resources </w:t>
      </w:r>
      <w:r w:rsidR="00797AEA">
        <w:rPr>
          <w:rFonts w:ascii="Times New Roman" w:hAnsi="Times New Roman"/>
          <w:lang w:val="en-US"/>
        </w:rPr>
        <w:t>and</w:t>
      </w:r>
      <w:r w:rsidRPr="00B22CA5">
        <w:rPr>
          <w:rFonts w:ascii="Times New Roman" w:hAnsi="Times New Roman"/>
          <w:lang w:val="en-US"/>
        </w:rPr>
        <w:t xml:space="preserve"> Services Administration, </w:t>
      </w:r>
      <w:r w:rsidRPr="00B22CA5">
        <w:rPr>
          <w:rFonts w:ascii="Times New Roman" w:hAnsi="Times New Roman"/>
          <w:i/>
          <w:iCs/>
          <w:lang w:val="en-US"/>
        </w:rPr>
        <w:t>About HRSA</w:t>
      </w:r>
      <w:r w:rsidRPr="00B22CA5">
        <w:rPr>
          <w:rFonts w:ascii="Times New Roman" w:hAnsi="Times New Roman"/>
          <w:lang w:val="en-US"/>
        </w:rPr>
        <w:t xml:space="preserve">, </w:t>
      </w:r>
      <w:r w:rsidRPr="00B22CA5">
        <w:rPr>
          <w:rFonts w:ascii="Times New Roman" w:hAnsi="Times New Roman"/>
          <w:i/>
          <w:iCs/>
          <w:lang w:val="en-US"/>
        </w:rPr>
        <w:t>available at</w:t>
      </w:r>
      <w:r w:rsidRPr="00B22CA5">
        <w:rPr>
          <w:rFonts w:ascii="Times New Roman" w:hAnsi="Times New Roman"/>
          <w:lang w:val="en-US"/>
        </w:rPr>
        <w:t xml:space="preserve"> https://www.hrsa.gov/about.</w:t>
      </w:r>
    </w:p>
  </w:footnote>
  <w:footnote w:id="3">
    <w:p w14:paraId="6BACDD62" w14:textId="77777777" w:rsidR="001B04A7" w:rsidRPr="00B22CA5" w:rsidRDefault="001B04A7" w:rsidP="001B04A7">
      <w:pPr>
        <w:pStyle w:val="FootnoteText"/>
        <w:rPr>
          <w:rFonts w:ascii="Times New Roman" w:hAnsi="Times New Roman"/>
          <w:lang w:val="en-US"/>
        </w:rPr>
      </w:pPr>
      <w:r w:rsidRPr="00B22CA5">
        <w:rPr>
          <w:rStyle w:val="FootnoteReference"/>
          <w:rFonts w:ascii="Times New Roman" w:hAnsi="Times New Roman"/>
          <w:vertAlign w:val="superscript"/>
        </w:rPr>
        <w:footnoteRef/>
      </w:r>
      <w:r w:rsidRPr="00B22CA5">
        <w:rPr>
          <w:rFonts w:ascii="Times New Roman" w:hAnsi="Times New Roman"/>
        </w:rPr>
        <w:t xml:space="preserve"> </w:t>
      </w:r>
      <w:r w:rsidRPr="00B22CA5">
        <w:rPr>
          <w:rFonts w:ascii="Times New Roman" w:hAnsi="Times New Roman"/>
          <w:lang w:val="en-US"/>
        </w:rPr>
        <w:t>42 U.S.C. § 300gg-13; 45 C.F.R. § 147.130; and N.Y. Insurance Law §§ 3216(</w:t>
      </w:r>
      <w:proofErr w:type="spellStart"/>
      <w:r w:rsidRPr="00B22CA5">
        <w:rPr>
          <w:rFonts w:ascii="Times New Roman" w:hAnsi="Times New Roman"/>
          <w:lang w:val="en-US"/>
        </w:rPr>
        <w:t>i</w:t>
      </w:r>
      <w:proofErr w:type="spellEnd"/>
      <w:r w:rsidRPr="00B22CA5">
        <w:rPr>
          <w:rFonts w:ascii="Times New Roman" w:hAnsi="Times New Roman"/>
          <w:lang w:val="en-US"/>
        </w:rPr>
        <w:t>)(17)(E), 3221(l)(8)(E), and 4303(j)(3).</w:t>
      </w:r>
    </w:p>
  </w:footnote>
  <w:footnote w:id="4">
    <w:p w14:paraId="61B5D85C" w14:textId="466AC31A" w:rsidR="001B04A7" w:rsidRPr="00B22CA5" w:rsidRDefault="001B04A7" w:rsidP="001B04A7">
      <w:pPr>
        <w:pStyle w:val="FootnoteText"/>
        <w:rPr>
          <w:rFonts w:ascii="Times New Roman" w:hAnsi="Times New Roman"/>
          <w:lang w:val="en-US"/>
        </w:rPr>
      </w:pPr>
      <w:r w:rsidRPr="00B22CA5">
        <w:rPr>
          <w:rStyle w:val="FootnoteReference"/>
          <w:rFonts w:ascii="Times New Roman" w:hAnsi="Times New Roman"/>
          <w:vertAlign w:val="superscript"/>
        </w:rPr>
        <w:footnoteRef/>
      </w:r>
      <w:r w:rsidRPr="00B22CA5">
        <w:rPr>
          <w:rFonts w:ascii="Times New Roman" w:hAnsi="Times New Roman"/>
        </w:rPr>
        <w:t xml:space="preserve"> </w:t>
      </w:r>
      <w:r w:rsidRPr="00B22CA5">
        <w:rPr>
          <w:rFonts w:ascii="Times New Roman" w:hAnsi="Times New Roman"/>
          <w:lang w:val="en-US"/>
        </w:rPr>
        <w:t xml:space="preserve">U.S. </w:t>
      </w:r>
      <w:r w:rsidR="00797AEA">
        <w:rPr>
          <w:rFonts w:ascii="Times New Roman" w:hAnsi="Times New Roman"/>
          <w:lang w:val="en-US"/>
        </w:rPr>
        <w:t>Preventive</w:t>
      </w:r>
      <w:r w:rsidRPr="00B22CA5">
        <w:rPr>
          <w:rFonts w:ascii="Times New Roman" w:hAnsi="Times New Roman"/>
          <w:lang w:val="en-US"/>
        </w:rPr>
        <w:t xml:space="preserve"> Services Task Force, “Final Recommendation Statement - Breast Cancer: Screening,” Jan. 1, 2016, </w:t>
      </w:r>
      <w:r w:rsidRPr="00B22CA5">
        <w:rPr>
          <w:rFonts w:ascii="Times New Roman" w:hAnsi="Times New Roman"/>
          <w:i/>
          <w:lang w:val="en-US"/>
        </w:rPr>
        <w:t>available at</w:t>
      </w:r>
      <w:r w:rsidRPr="00B22CA5">
        <w:rPr>
          <w:rFonts w:ascii="Times New Roman" w:hAnsi="Times New Roman"/>
          <w:lang w:val="en-US"/>
        </w:rPr>
        <w:t xml:space="preserve"> https://www.uspreventiveservicestaskforce.org/uspstf/recommendation/breast-cancer-screening. </w:t>
      </w:r>
    </w:p>
  </w:footnote>
  <w:footnote w:id="5">
    <w:p w14:paraId="33C2A59F" w14:textId="0B67FC62" w:rsidR="00554397" w:rsidRPr="00B22CA5" w:rsidRDefault="00554397">
      <w:pPr>
        <w:pStyle w:val="FootnoteText"/>
        <w:rPr>
          <w:rFonts w:ascii="Times New Roman" w:hAnsi="Times New Roman"/>
          <w:lang w:val="en-US"/>
        </w:rPr>
      </w:pPr>
      <w:r w:rsidRPr="00B22CA5">
        <w:rPr>
          <w:rStyle w:val="FootnoteReference"/>
          <w:rFonts w:ascii="Times New Roman" w:hAnsi="Times New Roman"/>
          <w:vertAlign w:val="superscript"/>
        </w:rPr>
        <w:footnoteRef/>
      </w:r>
      <w:r w:rsidRPr="00B22CA5">
        <w:rPr>
          <w:rFonts w:ascii="Times New Roman" w:hAnsi="Times New Roman"/>
        </w:rPr>
        <w:t xml:space="preserve"> </w:t>
      </w:r>
      <w:r w:rsidR="00B22CA5" w:rsidRPr="00B22CA5">
        <w:rPr>
          <w:rFonts w:ascii="Times New Roman" w:hAnsi="Times New Roman"/>
          <w:lang w:val="en-US"/>
        </w:rPr>
        <w:t>N.Y. Insurance Law §§ 3216(</w:t>
      </w:r>
      <w:proofErr w:type="spellStart"/>
      <w:r w:rsidR="00B22CA5" w:rsidRPr="00B22CA5">
        <w:rPr>
          <w:rFonts w:ascii="Times New Roman" w:hAnsi="Times New Roman"/>
          <w:lang w:val="en-US"/>
        </w:rPr>
        <w:t>i</w:t>
      </w:r>
      <w:proofErr w:type="spellEnd"/>
      <w:r w:rsidR="00B22CA5" w:rsidRPr="00B22CA5">
        <w:rPr>
          <w:rFonts w:ascii="Times New Roman" w:hAnsi="Times New Roman"/>
          <w:lang w:val="en-US"/>
        </w:rPr>
        <w:t xml:space="preserve">)(11)(F), 3221(l)(11)(F), and 4303(p)(5). </w:t>
      </w:r>
    </w:p>
  </w:footnote>
  <w:footnote w:id="6">
    <w:p w14:paraId="73A994C0" w14:textId="27DB4941" w:rsidR="00554397" w:rsidRPr="00B22CA5" w:rsidRDefault="00554397" w:rsidP="00554397">
      <w:pPr>
        <w:pStyle w:val="FootnoteText"/>
        <w:rPr>
          <w:rFonts w:ascii="Times New Roman" w:hAnsi="Times New Roman"/>
          <w:lang w:val="en-US"/>
        </w:rPr>
      </w:pPr>
      <w:r w:rsidRPr="00B22CA5">
        <w:rPr>
          <w:rStyle w:val="FootnoteReference"/>
          <w:rFonts w:ascii="Times New Roman" w:hAnsi="Times New Roman"/>
          <w:vertAlign w:val="superscript"/>
        </w:rPr>
        <w:footnoteRef/>
      </w:r>
      <w:r w:rsidRPr="00B22CA5">
        <w:rPr>
          <w:rFonts w:ascii="Times New Roman" w:hAnsi="Times New Roman"/>
        </w:rPr>
        <w:t xml:space="preserve"> </w:t>
      </w:r>
      <w:r w:rsidRPr="00B22CA5">
        <w:rPr>
          <w:rFonts w:ascii="Times New Roman" w:hAnsi="Times New Roman"/>
          <w:lang w:val="en-US"/>
        </w:rPr>
        <w:t xml:space="preserve">N.Y. </w:t>
      </w:r>
      <w:proofErr w:type="spellStart"/>
      <w:r w:rsidRPr="00B22CA5">
        <w:rPr>
          <w:rFonts w:ascii="Times New Roman" w:hAnsi="Times New Roman"/>
          <w:lang w:val="en-US"/>
        </w:rPr>
        <w:t>Dep’t</w:t>
      </w:r>
      <w:proofErr w:type="spellEnd"/>
      <w:r w:rsidRPr="00B22CA5">
        <w:rPr>
          <w:rFonts w:ascii="Times New Roman" w:hAnsi="Times New Roman"/>
          <w:lang w:val="en-US"/>
        </w:rPr>
        <w:t xml:space="preserve"> of Health, “Frequently Asked Questions: Legislation to Improve Coverage for Breast Cancer Screening January 1, 2017,” </w:t>
      </w:r>
      <w:r w:rsidRPr="00B22CA5">
        <w:rPr>
          <w:rFonts w:ascii="Times New Roman" w:hAnsi="Times New Roman"/>
          <w:i/>
          <w:lang w:val="en-US"/>
        </w:rPr>
        <w:t>available at</w:t>
      </w:r>
      <w:r w:rsidRPr="00B22CA5">
        <w:rPr>
          <w:rFonts w:ascii="Times New Roman" w:hAnsi="Times New Roman"/>
          <w:lang w:val="en-US"/>
        </w:rPr>
        <w:t xml:space="preserve"> https://www.health.ny.gov/diseases/cancer/breast/nys_breast_cancer_faqs.htm. </w:t>
      </w:r>
    </w:p>
  </w:footnote>
  <w:footnote w:id="7">
    <w:p w14:paraId="170DEC4D" w14:textId="5734DE39" w:rsidR="00597448" w:rsidRPr="00B22CA5" w:rsidRDefault="00597448" w:rsidP="005F14F8">
      <w:pPr>
        <w:pStyle w:val="FootnoteText"/>
        <w:rPr>
          <w:rFonts w:ascii="Times New Roman" w:hAnsi="Times New Roman"/>
          <w:lang w:val="en-US"/>
        </w:rPr>
      </w:pPr>
      <w:r w:rsidRPr="00B22CA5">
        <w:rPr>
          <w:rStyle w:val="FootnoteReference"/>
          <w:rFonts w:ascii="Times New Roman" w:hAnsi="Times New Roman"/>
          <w:vertAlign w:val="superscript"/>
        </w:rPr>
        <w:footnoteRef/>
      </w:r>
      <w:r w:rsidRPr="00B22CA5">
        <w:rPr>
          <w:rFonts w:ascii="Times New Roman" w:hAnsi="Times New Roman"/>
        </w:rPr>
        <w:t xml:space="preserve"> </w:t>
      </w:r>
      <w:r w:rsidR="005F14F8" w:rsidRPr="00B22CA5">
        <w:rPr>
          <w:rFonts w:ascii="Times New Roman" w:hAnsi="Times New Roman"/>
        </w:rPr>
        <w:t>American College of Radiology</w:t>
      </w:r>
      <w:r w:rsidR="005F14F8" w:rsidRPr="00B22CA5">
        <w:rPr>
          <w:rFonts w:ascii="Times New Roman" w:hAnsi="Times New Roman"/>
          <w:lang w:val="en-US"/>
        </w:rPr>
        <w:t>, “</w:t>
      </w:r>
      <w:r w:rsidR="005F14F8" w:rsidRPr="00B22CA5">
        <w:rPr>
          <w:rFonts w:ascii="Times New Roman" w:hAnsi="Times New Roman"/>
        </w:rPr>
        <w:t>ACR Appropriateness Criteria®</w:t>
      </w:r>
      <w:r w:rsidR="005F14F8" w:rsidRPr="00B22CA5">
        <w:rPr>
          <w:rFonts w:ascii="Times New Roman" w:hAnsi="Times New Roman"/>
          <w:lang w:val="en-US"/>
        </w:rPr>
        <w:t xml:space="preserve">: </w:t>
      </w:r>
      <w:r w:rsidR="005F14F8" w:rsidRPr="00B22CA5">
        <w:rPr>
          <w:rFonts w:ascii="Times New Roman" w:hAnsi="Times New Roman"/>
        </w:rPr>
        <w:t>Supplemental Breast Cancer Screening Based on Breast Densit</w:t>
      </w:r>
      <w:r w:rsidR="005F14F8" w:rsidRPr="00B22CA5">
        <w:rPr>
          <w:rFonts w:ascii="Times New Roman" w:hAnsi="Times New Roman"/>
          <w:lang w:val="en-US"/>
        </w:rPr>
        <w:t xml:space="preserve">y,” 2021, </w:t>
      </w:r>
      <w:r w:rsidR="005F14F8" w:rsidRPr="00B22CA5">
        <w:rPr>
          <w:rFonts w:ascii="Times New Roman" w:hAnsi="Times New Roman"/>
          <w:i/>
          <w:iCs/>
          <w:lang w:val="en-US"/>
        </w:rPr>
        <w:t xml:space="preserve">available at </w:t>
      </w:r>
      <w:r w:rsidR="005F14F8" w:rsidRPr="00B22CA5">
        <w:rPr>
          <w:rFonts w:ascii="Times New Roman" w:hAnsi="Times New Roman"/>
          <w:lang w:val="en-US"/>
        </w:rPr>
        <w:t>https://acsearch.acr.org/docs/3158166/Narrative/.</w:t>
      </w:r>
    </w:p>
  </w:footnote>
  <w:footnote w:id="8">
    <w:p w14:paraId="6BEB02B2" w14:textId="705F9509" w:rsidR="005F14F8" w:rsidRPr="00B22CA5" w:rsidRDefault="005F14F8">
      <w:pPr>
        <w:pStyle w:val="FootnoteText"/>
        <w:rPr>
          <w:rFonts w:ascii="Times New Roman" w:hAnsi="Times New Roman"/>
          <w:lang w:val="en-US"/>
        </w:rPr>
      </w:pPr>
      <w:r w:rsidRPr="00B22CA5">
        <w:rPr>
          <w:rStyle w:val="FootnoteReference"/>
          <w:rFonts w:ascii="Times New Roman" w:hAnsi="Times New Roman"/>
          <w:vertAlign w:val="superscript"/>
        </w:rPr>
        <w:footnoteRef/>
      </w:r>
      <w:r w:rsidRPr="00B22CA5">
        <w:rPr>
          <w:rFonts w:ascii="Times New Roman" w:hAnsi="Times New Roman"/>
        </w:rPr>
        <w:t xml:space="preserve"> The American College of Obstetricians and Gynecologists</w:t>
      </w:r>
      <w:r w:rsidRPr="00B22CA5">
        <w:rPr>
          <w:rFonts w:ascii="Times New Roman" w:hAnsi="Times New Roman"/>
          <w:lang w:val="en-US"/>
        </w:rPr>
        <w:t>, “Management of Women With Dense Breasts Diagnosed by Mammography: Committee Opinion Number 265,” Reaffirmed in 202</w:t>
      </w:r>
      <w:r w:rsidR="00B22CA5" w:rsidRPr="00B22CA5">
        <w:rPr>
          <w:rFonts w:ascii="Times New Roman" w:hAnsi="Times New Roman"/>
          <w:lang w:val="en-US"/>
        </w:rPr>
        <w:t>4</w:t>
      </w:r>
      <w:r w:rsidRPr="00B22CA5">
        <w:rPr>
          <w:rFonts w:ascii="Times New Roman" w:hAnsi="Times New Roman"/>
          <w:lang w:val="en-US"/>
        </w:rPr>
        <w:t xml:space="preserve">, </w:t>
      </w:r>
      <w:r w:rsidRPr="00B22CA5">
        <w:rPr>
          <w:rFonts w:ascii="Times New Roman" w:hAnsi="Times New Roman"/>
          <w:i/>
          <w:iCs/>
          <w:lang w:val="en-US"/>
        </w:rPr>
        <w:t xml:space="preserve">available at </w:t>
      </w:r>
      <w:r w:rsidRPr="00B22CA5">
        <w:rPr>
          <w:rFonts w:ascii="Times New Roman" w:hAnsi="Times New Roman"/>
          <w:lang w:val="en-US"/>
        </w:rPr>
        <w:t>https://www.acog.org/clinical/clinical-guidance/committee-opinion/articles/2015/03/management-of-women-with-dense-breasts-diagnosed-by-mammography.</w:t>
      </w:r>
    </w:p>
  </w:footnote>
  <w:footnote w:id="9">
    <w:p w14:paraId="7DB889A4" w14:textId="68169F83" w:rsidR="005F14F8" w:rsidRPr="00B22CA5" w:rsidRDefault="005F14F8">
      <w:pPr>
        <w:pStyle w:val="FootnoteText"/>
        <w:rPr>
          <w:rFonts w:ascii="Times New Roman" w:hAnsi="Times New Roman"/>
          <w:lang w:val="en-US"/>
        </w:rPr>
      </w:pPr>
      <w:r w:rsidRPr="00B22CA5">
        <w:rPr>
          <w:rStyle w:val="FootnoteReference"/>
          <w:rFonts w:ascii="Times New Roman" w:hAnsi="Times New Roman"/>
          <w:vertAlign w:val="superscript"/>
        </w:rPr>
        <w:footnoteRef/>
      </w:r>
      <w:r w:rsidRPr="00B22CA5">
        <w:rPr>
          <w:rFonts w:ascii="Times New Roman" w:hAnsi="Times New Roman"/>
        </w:rPr>
        <w:t xml:space="preserve"> </w:t>
      </w:r>
      <w:r w:rsidRPr="00B22CA5">
        <w:rPr>
          <w:rFonts w:ascii="Times New Roman" w:hAnsi="Times New Roman"/>
          <w:lang w:val="en-US"/>
        </w:rPr>
        <w:t>N.Y. Public Health Law §</w:t>
      </w:r>
      <w:r w:rsidR="002A2584">
        <w:rPr>
          <w:rFonts w:ascii="Times New Roman" w:hAnsi="Times New Roman"/>
          <w:lang w:val="en-US"/>
        </w:rPr>
        <w:t xml:space="preserve"> </w:t>
      </w:r>
      <w:r w:rsidRPr="00B22CA5">
        <w:rPr>
          <w:rFonts w:ascii="Times New Roman" w:hAnsi="Times New Roman"/>
          <w:lang w:val="en-US"/>
        </w:rPr>
        <w:t>2404-c.</w:t>
      </w:r>
    </w:p>
  </w:footnote>
  <w:footnote w:id="10">
    <w:p w14:paraId="7C09B31A" w14:textId="1436A5CD" w:rsidR="00B22CA5" w:rsidRPr="002A2584" w:rsidRDefault="00B22CA5">
      <w:pPr>
        <w:pStyle w:val="FootnoteText"/>
        <w:rPr>
          <w:rFonts w:ascii="Times New Roman" w:hAnsi="Times New Roman"/>
          <w:lang w:val="en-US"/>
        </w:rPr>
      </w:pPr>
      <w:r w:rsidRPr="002A2584">
        <w:rPr>
          <w:rStyle w:val="FootnoteReference"/>
          <w:rFonts w:ascii="Times New Roman" w:hAnsi="Times New Roman"/>
          <w:vertAlign w:val="superscript"/>
        </w:rPr>
        <w:footnoteRef/>
      </w:r>
      <w:r w:rsidRPr="002A2584">
        <w:rPr>
          <w:rFonts w:ascii="Times New Roman" w:hAnsi="Times New Roman"/>
        </w:rPr>
        <w:t xml:space="preserve"> </w:t>
      </w:r>
      <w:r w:rsidRPr="002A2584">
        <w:rPr>
          <w:rFonts w:ascii="Times New Roman" w:hAnsi="Times New Roman"/>
          <w:lang w:val="en-US"/>
        </w:rPr>
        <w:t>4</w:t>
      </w:r>
      <w:bookmarkStart w:id="0" w:name="_Hlk158365934"/>
      <w:r w:rsidRPr="002A2584">
        <w:rPr>
          <w:rFonts w:ascii="Times New Roman" w:hAnsi="Times New Roman"/>
          <w:lang w:val="en-US"/>
        </w:rPr>
        <w:t xml:space="preserve">5 C.F.R. § </w:t>
      </w:r>
      <w:r w:rsidR="002A2584" w:rsidRPr="002A2584">
        <w:rPr>
          <w:rFonts w:ascii="Times New Roman" w:hAnsi="Times New Roman"/>
          <w:lang w:val="en-US"/>
        </w:rPr>
        <w:t>155.170(a).</w:t>
      </w:r>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D411E" w14:textId="77777777" w:rsidR="00597448" w:rsidRDefault="005974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078C4" w14:textId="77777777" w:rsidR="004136FF" w:rsidRDefault="004136FF">
    <w:pPr>
      <w:tabs>
        <w:tab w:val="left" w:pos="5040"/>
        <w:tab w:val="left" w:pos="6480"/>
        <w:tab w:val="left" w:pos="8568"/>
      </w:tabs>
      <w:rPr>
        <w:rFonts w:ascii="EngraversGothic BT" w:hAnsi="EngraversGothic BT" w:cs="EngraversGothic BT"/>
        <w:sz w:val="16"/>
        <w:szCs w:val="16"/>
      </w:rPr>
    </w:pPr>
  </w:p>
  <w:p w14:paraId="5945D65C" w14:textId="77777777" w:rsidR="004136FF" w:rsidRDefault="004136FF">
    <w:pPr>
      <w:spacing w:line="240" w:lineRule="exact"/>
      <w:rPr>
        <w:rFonts w:ascii="EngraversGothic BT" w:hAnsi="EngraversGothic BT" w:cs="EngraversGothic BT"/>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68D51" w14:textId="77777777" w:rsidR="00597448" w:rsidRDefault="005974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B42A6"/>
    <w:multiLevelType w:val="hybridMultilevel"/>
    <w:tmpl w:val="7A44E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400714"/>
    <w:multiLevelType w:val="multilevel"/>
    <w:tmpl w:val="841204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3C1E69"/>
    <w:multiLevelType w:val="hybridMultilevel"/>
    <w:tmpl w:val="9086D1F4"/>
    <w:lvl w:ilvl="0" w:tplc="F8A229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1562EF"/>
    <w:multiLevelType w:val="hybridMultilevel"/>
    <w:tmpl w:val="5FBE6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CE6A56"/>
    <w:multiLevelType w:val="hybridMultilevel"/>
    <w:tmpl w:val="FDB80ACE"/>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5" w15:restartNumberingAfterBreak="0">
    <w:nsid w:val="3F78181C"/>
    <w:multiLevelType w:val="hybridMultilevel"/>
    <w:tmpl w:val="3912E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51284F"/>
    <w:multiLevelType w:val="hybridMultilevel"/>
    <w:tmpl w:val="C324CD72"/>
    <w:lvl w:ilvl="0" w:tplc="0409000F">
      <w:start w:val="1"/>
      <w:numFmt w:val="decimal"/>
      <w:lvlText w:val="%1."/>
      <w:lvlJc w:val="left"/>
      <w:pPr>
        <w:ind w:left="630" w:hanging="360"/>
      </w:pPr>
      <w:rPr>
        <w:rFont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15:restartNumberingAfterBreak="0">
    <w:nsid w:val="4C1F7400"/>
    <w:multiLevelType w:val="hybridMultilevel"/>
    <w:tmpl w:val="BEEAD120"/>
    <w:lvl w:ilvl="0" w:tplc="2D9ACF80">
      <w:start w:val="1"/>
      <w:numFmt w:val="decimal"/>
      <w:lvlText w:val="%1."/>
      <w:lvlJc w:val="left"/>
      <w:pPr>
        <w:tabs>
          <w:tab w:val="num" w:pos="720"/>
        </w:tabs>
        <w:ind w:left="72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45C1F3F"/>
    <w:multiLevelType w:val="multilevel"/>
    <w:tmpl w:val="F342D6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005FC3"/>
    <w:multiLevelType w:val="hybridMultilevel"/>
    <w:tmpl w:val="13D8B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3C7015"/>
    <w:multiLevelType w:val="hybridMultilevel"/>
    <w:tmpl w:val="323EE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031C61"/>
    <w:multiLevelType w:val="hybridMultilevel"/>
    <w:tmpl w:val="2FF41A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3460868"/>
    <w:multiLevelType w:val="hybridMultilevel"/>
    <w:tmpl w:val="49E65E4A"/>
    <w:lvl w:ilvl="0" w:tplc="351CF63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85039440">
    <w:abstractNumId w:val="7"/>
  </w:num>
  <w:num w:numId="2" w16cid:durableId="1168517319">
    <w:abstractNumId w:val="12"/>
  </w:num>
  <w:num w:numId="3" w16cid:durableId="1998418826">
    <w:abstractNumId w:val="1"/>
  </w:num>
  <w:num w:numId="4" w16cid:durableId="93550369">
    <w:abstractNumId w:val="1"/>
  </w:num>
  <w:num w:numId="5" w16cid:durableId="904492102">
    <w:abstractNumId w:val="8"/>
  </w:num>
  <w:num w:numId="6" w16cid:durableId="888998488">
    <w:abstractNumId w:val="10"/>
  </w:num>
  <w:num w:numId="7" w16cid:durableId="1352605698">
    <w:abstractNumId w:val="5"/>
  </w:num>
  <w:num w:numId="8" w16cid:durableId="463081354">
    <w:abstractNumId w:val="4"/>
  </w:num>
  <w:num w:numId="9" w16cid:durableId="1654410542">
    <w:abstractNumId w:val="11"/>
  </w:num>
  <w:num w:numId="10" w16cid:durableId="25254869">
    <w:abstractNumId w:val="0"/>
  </w:num>
  <w:num w:numId="11" w16cid:durableId="1893957002">
    <w:abstractNumId w:val="3"/>
  </w:num>
  <w:num w:numId="12" w16cid:durableId="507908306">
    <w:abstractNumId w:val="9"/>
  </w:num>
  <w:num w:numId="13" w16cid:durableId="1746879931">
    <w:abstractNumId w:val="6"/>
  </w:num>
  <w:num w:numId="14" w16cid:durableId="10609055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888-7818-5636, v. 1"/>
    <w:docVar w:name="ndGeneratedStampLocation" w:val="LastPage"/>
  </w:docVars>
  <w:rsids>
    <w:rsidRoot w:val="0076109B"/>
    <w:rsid w:val="00010B3A"/>
    <w:rsid w:val="00076181"/>
    <w:rsid w:val="00084DC6"/>
    <w:rsid w:val="00092C3A"/>
    <w:rsid w:val="000B6AAE"/>
    <w:rsid w:val="000C57D1"/>
    <w:rsid w:val="00142F8C"/>
    <w:rsid w:val="00144CE6"/>
    <w:rsid w:val="001450D3"/>
    <w:rsid w:val="0016121A"/>
    <w:rsid w:val="00163E1A"/>
    <w:rsid w:val="00167891"/>
    <w:rsid w:val="00171B9F"/>
    <w:rsid w:val="00182D60"/>
    <w:rsid w:val="001A434B"/>
    <w:rsid w:val="001B04A7"/>
    <w:rsid w:val="001C4276"/>
    <w:rsid w:val="001C61EA"/>
    <w:rsid w:val="001D7664"/>
    <w:rsid w:val="001E312F"/>
    <w:rsid w:val="001E4750"/>
    <w:rsid w:val="00213F1A"/>
    <w:rsid w:val="0022015C"/>
    <w:rsid w:val="00234569"/>
    <w:rsid w:val="0024599A"/>
    <w:rsid w:val="00246836"/>
    <w:rsid w:val="0025215A"/>
    <w:rsid w:val="00264FB4"/>
    <w:rsid w:val="002878B9"/>
    <w:rsid w:val="0029554A"/>
    <w:rsid w:val="002A2584"/>
    <w:rsid w:val="002D62CE"/>
    <w:rsid w:val="003047AC"/>
    <w:rsid w:val="00334703"/>
    <w:rsid w:val="00335A82"/>
    <w:rsid w:val="00360AE9"/>
    <w:rsid w:val="00370B50"/>
    <w:rsid w:val="00394A69"/>
    <w:rsid w:val="003B5947"/>
    <w:rsid w:val="003B6CF7"/>
    <w:rsid w:val="003F0FBF"/>
    <w:rsid w:val="0040204F"/>
    <w:rsid w:val="004033E3"/>
    <w:rsid w:val="004131B4"/>
    <w:rsid w:val="004136FF"/>
    <w:rsid w:val="00415A20"/>
    <w:rsid w:val="0043048A"/>
    <w:rsid w:val="004608AF"/>
    <w:rsid w:val="00482044"/>
    <w:rsid w:val="00482AA0"/>
    <w:rsid w:val="0048488A"/>
    <w:rsid w:val="004937E5"/>
    <w:rsid w:val="004A428C"/>
    <w:rsid w:val="004B3324"/>
    <w:rsid w:val="00520383"/>
    <w:rsid w:val="005421EB"/>
    <w:rsid w:val="005426DA"/>
    <w:rsid w:val="005438F9"/>
    <w:rsid w:val="00554397"/>
    <w:rsid w:val="00561FBA"/>
    <w:rsid w:val="00567E5F"/>
    <w:rsid w:val="00576069"/>
    <w:rsid w:val="00580177"/>
    <w:rsid w:val="0059623A"/>
    <w:rsid w:val="00597448"/>
    <w:rsid w:val="005A2549"/>
    <w:rsid w:val="005A2DD0"/>
    <w:rsid w:val="005B0645"/>
    <w:rsid w:val="005E5CE1"/>
    <w:rsid w:val="005F14F8"/>
    <w:rsid w:val="005F6465"/>
    <w:rsid w:val="00606857"/>
    <w:rsid w:val="0061399F"/>
    <w:rsid w:val="00625F53"/>
    <w:rsid w:val="006662A1"/>
    <w:rsid w:val="006726D4"/>
    <w:rsid w:val="006A05DF"/>
    <w:rsid w:val="006A3254"/>
    <w:rsid w:val="006B4C9C"/>
    <w:rsid w:val="006B7F18"/>
    <w:rsid w:val="006C1783"/>
    <w:rsid w:val="006C7AB1"/>
    <w:rsid w:val="006D021D"/>
    <w:rsid w:val="006D2066"/>
    <w:rsid w:val="006D2B57"/>
    <w:rsid w:val="006E764B"/>
    <w:rsid w:val="006F63B8"/>
    <w:rsid w:val="00710337"/>
    <w:rsid w:val="00717588"/>
    <w:rsid w:val="00746549"/>
    <w:rsid w:val="007526F6"/>
    <w:rsid w:val="0076109B"/>
    <w:rsid w:val="00763C81"/>
    <w:rsid w:val="00787055"/>
    <w:rsid w:val="00797AEA"/>
    <w:rsid w:val="007A74BF"/>
    <w:rsid w:val="007B50C9"/>
    <w:rsid w:val="007D71F7"/>
    <w:rsid w:val="007F0891"/>
    <w:rsid w:val="008010CC"/>
    <w:rsid w:val="00804234"/>
    <w:rsid w:val="0080619C"/>
    <w:rsid w:val="00833743"/>
    <w:rsid w:val="008342B1"/>
    <w:rsid w:val="008379B0"/>
    <w:rsid w:val="0087396C"/>
    <w:rsid w:val="00882FF7"/>
    <w:rsid w:val="0089185F"/>
    <w:rsid w:val="008B47A4"/>
    <w:rsid w:val="008C3EEF"/>
    <w:rsid w:val="008D68BB"/>
    <w:rsid w:val="008D7AE5"/>
    <w:rsid w:val="009143B2"/>
    <w:rsid w:val="0093141A"/>
    <w:rsid w:val="009469B1"/>
    <w:rsid w:val="00952EF2"/>
    <w:rsid w:val="00954298"/>
    <w:rsid w:val="00963914"/>
    <w:rsid w:val="00982B96"/>
    <w:rsid w:val="00982C68"/>
    <w:rsid w:val="00985F53"/>
    <w:rsid w:val="00992D83"/>
    <w:rsid w:val="00992DCB"/>
    <w:rsid w:val="009D106D"/>
    <w:rsid w:val="009E1D68"/>
    <w:rsid w:val="009F2615"/>
    <w:rsid w:val="009F7D49"/>
    <w:rsid w:val="00A027C9"/>
    <w:rsid w:val="00A074EC"/>
    <w:rsid w:val="00A220AC"/>
    <w:rsid w:val="00A4271E"/>
    <w:rsid w:val="00A60DFF"/>
    <w:rsid w:val="00A61775"/>
    <w:rsid w:val="00A716BA"/>
    <w:rsid w:val="00A97ED4"/>
    <w:rsid w:val="00AB4347"/>
    <w:rsid w:val="00AB7F49"/>
    <w:rsid w:val="00AC05A1"/>
    <w:rsid w:val="00AF063F"/>
    <w:rsid w:val="00B15C5A"/>
    <w:rsid w:val="00B22CA5"/>
    <w:rsid w:val="00B273B2"/>
    <w:rsid w:val="00B57F8D"/>
    <w:rsid w:val="00B93094"/>
    <w:rsid w:val="00B955A5"/>
    <w:rsid w:val="00BC4ABD"/>
    <w:rsid w:val="00BD146B"/>
    <w:rsid w:val="00BF274F"/>
    <w:rsid w:val="00C037C5"/>
    <w:rsid w:val="00C07E03"/>
    <w:rsid w:val="00C25586"/>
    <w:rsid w:val="00C44B5D"/>
    <w:rsid w:val="00C52544"/>
    <w:rsid w:val="00C706D9"/>
    <w:rsid w:val="00C93457"/>
    <w:rsid w:val="00C963B7"/>
    <w:rsid w:val="00CB4AEB"/>
    <w:rsid w:val="00CB7854"/>
    <w:rsid w:val="00CC0C99"/>
    <w:rsid w:val="00CD354D"/>
    <w:rsid w:val="00CE5F5C"/>
    <w:rsid w:val="00D06BBC"/>
    <w:rsid w:val="00D2572E"/>
    <w:rsid w:val="00D336B4"/>
    <w:rsid w:val="00D41B8F"/>
    <w:rsid w:val="00D45880"/>
    <w:rsid w:val="00D60CD4"/>
    <w:rsid w:val="00D647E4"/>
    <w:rsid w:val="00D72932"/>
    <w:rsid w:val="00D73EAF"/>
    <w:rsid w:val="00DA0369"/>
    <w:rsid w:val="00DA1475"/>
    <w:rsid w:val="00DB23B3"/>
    <w:rsid w:val="00DD4708"/>
    <w:rsid w:val="00DE33B8"/>
    <w:rsid w:val="00DE4698"/>
    <w:rsid w:val="00E02AF6"/>
    <w:rsid w:val="00E05392"/>
    <w:rsid w:val="00E265E9"/>
    <w:rsid w:val="00E37C24"/>
    <w:rsid w:val="00E5274D"/>
    <w:rsid w:val="00E57261"/>
    <w:rsid w:val="00E6138A"/>
    <w:rsid w:val="00E62056"/>
    <w:rsid w:val="00EA0336"/>
    <w:rsid w:val="00EA486F"/>
    <w:rsid w:val="00EA7D4A"/>
    <w:rsid w:val="00ED1CCC"/>
    <w:rsid w:val="00ED4BD2"/>
    <w:rsid w:val="00F04D5A"/>
    <w:rsid w:val="00F20789"/>
    <w:rsid w:val="00F379C4"/>
    <w:rsid w:val="00F45BF0"/>
    <w:rsid w:val="00F70BB2"/>
    <w:rsid w:val="00F84D3F"/>
    <w:rsid w:val="00F91DA7"/>
    <w:rsid w:val="00FB15BF"/>
    <w:rsid w:val="00FC78D6"/>
    <w:rsid w:val="00FE31E9"/>
    <w:rsid w:val="00FF0351"/>
    <w:rsid w:val="00FF4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2050"/>
    <o:shapelayout v:ext="edit">
      <o:idmap v:ext="edit" data="2"/>
    </o:shapelayout>
  </w:shapeDefaults>
  <w:decimalSymbol w:val="."/>
  <w:listSeparator w:val=","/>
  <w14:docId w14:val="48628943"/>
  <w15:chartTrackingRefBased/>
  <w15:docId w15:val="{6FD77242-8553-4B5B-B256-D708137A8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93141A"/>
    <w:pPr>
      <w:tabs>
        <w:tab w:val="center" w:pos="4320"/>
        <w:tab w:val="right" w:pos="8640"/>
      </w:tabs>
    </w:pPr>
  </w:style>
  <w:style w:type="paragraph" w:styleId="Footer">
    <w:name w:val="footer"/>
    <w:basedOn w:val="Normal"/>
    <w:rsid w:val="0093141A"/>
    <w:pPr>
      <w:tabs>
        <w:tab w:val="center" w:pos="4320"/>
        <w:tab w:val="right" w:pos="8640"/>
      </w:tabs>
    </w:pPr>
  </w:style>
  <w:style w:type="paragraph" w:styleId="BalloonText">
    <w:name w:val="Balloon Text"/>
    <w:basedOn w:val="Normal"/>
    <w:semiHidden/>
    <w:rsid w:val="004A428C"/>
    <w:rPr>
      <w:rFonts w:ascii="Tahoma" w:hAnsi="Tahoma" w:cs="Tahoma"/>
      <w:sz w:val="16"/>
      <w:szCs w:val="16"/>
    </w:rPr>
  </w:style>
  <w:style w:type="paragraph" w:styleId="HTMLPreformatted">
    <w:name w:val="HTML Preformatted"/>
    <w:basedOn w:val="Normal"/>
    <w:link w:val="HTMLPreformattedChar"/>
    <w:uiPriority w:val="99"/>
    <w:semiHidden/>
    <w:unhideWhenUsed/>
    <w:rsid w:val="005438F9"/>
    <w:rPr>
      <w:rFonts w:ascii="Courier New" w:hAnsi="Courier New"/>
      <w:sz w:val="20"/>
      <w:szCs w:val="20"/>
      <w:lang w:val="x-none" w:eastAsia="x-none"/>
    </w:rPr>
  </w:style>
  <w:style w:type="character" w:customStyle="1" w:styleId="HTMLPreformattedChar">
    <w:name w:val="HTML Preformatted Char"/>
    <w:link w:val="HTMLPreformatted"/>
    <w:uiPriority w:val="99"/>
    <w:semiHidden/>
    <w:rsid w:val="005438F9"/>
    <w:rPr>
      <w:rFonts w:ascii="Courier New" w:hAnsi="Courier New" w:cs="Courier New"/>
    </w:rPr>
  </w:style>
  <w:style w:type="character" w:styleId="Hyperlink">
    <w:name w:val="Hyperlink"/>
    <w:uiPriority w:val="99"/>
    <w:unhideWhenUsed/>
    <w:rsid w:val="00076181"/>
    <w:rPr>
      <w:color w:val="0000FF"/>
      <w:u w:val="single"/>
    </w:rPr>
  </w:style>
  <w:style w:type="paragraph" w:styleId="NoSpacing">
    <w:name w:val="No Spacing"/>
    <w:uiPriority w:val="1"/>
    <w:qFormat/>
    <w:rsid w:val="00D72932"/>
    <w:rPr>
      <w:rFonts w:ascii="Calibri" w:eastAsia="Calibri" w:hAnsi="Calibri"/>
      <w:sz w:val="22"/>
      <w:szCs w:val="22"/>
    </w:rPr>
  </w:style>
  <w:style w:type="paragraph" w:styleId="FootnoteText">
    <w:name w:val="footnote text"/>
    <w:basedOn w:val="Normal"/>
    <w:link w:val="FootnoteTextChar"/>
    <w:semiHidden/>
    <w:unhideWhenUsed/>
    <w:rsid w:val="00D72932"/>
    <w:pPr>
      <w:widowControl/>
      <w:autoSpaceDE/>
      <w:autoSpaceDN/>
      <w:adjustRightInd/>
    </w:pPr>
    <w:rPr>
      <w:rFonts w:ascii="Calibri" w:eastAsia="Calibri" w:hAnsi="Calibri"/>
      <w:sz w:val="20"/>
      <w:szCs w:val="20"/>
      <w:lang w:val="x-none" w:eastAsia="x-none"/>
    </w:rPr>
  </w:style>
  <w:style w:type="character" w:customStyle="1" w:styleId="FootnoteTextChar">
    <w:name w:val="Footnote Text Char"/>
    <w:link w:val="FootnoteText"/>
    <w:semiHidden/>
    <w:rsid w:val="00D72932"/>
    <w:rPr>
      <w:rFonts w:ascii="Calibri" w:eastAsia="Calibri" w:hAnsi="Calibri"/>
    </w:rPr>
  </w:style>
  <w:style w:type="character" w:customStyle="1" w:styleId="UnresolvedMention1">
    <w:name w:val="Unresolved Mention1"/>
    <w:basedOn w:val="DefaultParagraphFont"/>
    <w:uiPriority w:val="99"/>
    <w:semiHidden/>
    <w:unhideWhenUsed/>
    <w:rsid w:val="002D62CE"/>
    <w:rPr>
      <w:color w:val="605E5C"/>
      <w:shd w:val="clear" w:color="auto" w:fill="E1DFDD"/>
    </w:rPr>
  </w:style>
  <w:style w:type="paragraph" w:styleId="Revision">
    <w:name w:val="Revision"/>
    <w:hidden/>
    <w:uiPriority w:val="99"/>
    <w:semiHidden/>
    <w:rsid w:val="0059744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330056">
      <w:bodyDiv w:val="1"/>
      <w:marLeft w:val="0"/>
      <w:marRight w:val="0"/>
      <w:marTop w:val="0"/>
      <w:marBottom w:val="0"/>
      <w:divBdr>
        <w:top w:val="none" w:sz="0" w:space="0" w:color="auto"/>
        <w:left w:val="none" w:sz="0" w:space="0" w:color="auto"/>
        <w:bottom w:val="none" w:sz="0" w:space="0" w:color="auto"/>
        <w:right w:val="none" w:sz="0" w:space="0" w:color="auto"/>
      </w:divBdr>
    </w:div>
    <w:div w:id="197551696">
      <w:bodyDiv w:val="1"/>
      <w:marLeft w:val="0"/>
      <w:marRight w:val="0"/>
      <w:marTop w:val="0"/>
      <w:marBottom w:val="0"/>
      <w:divBdr>
        <w:top w:val="none" w:sz="0" w:space="0" w:color="auto"/>
        <w:left w:val="none" w:sz="0" w:space="0" w:color="auto"/>
        <w:bottom w:val="none" w:sz="0" w:space="0" w:color="auto"/>
        <w:right w:val="none" w:sz="0" w:space="0" w:color="auto"/>
      </w:divBdr>
    </w:div>
    <w:div w:id="394593599">
      <w:bodyDiv w:val="1"/>
      <w:marLeft w:val="0"/>
      <w:marRight w:val="0"/>
      <w:marTop w:val="0"/>
      <w:marBottom w:val="0"/>
      <w:divBdr>
        <w:top w:val="none" w:sz="0" w:space="0" w:color="auto"/>
        <w:left w:val="none" w:sz="0" w:space="0" w:color="auto"/>
        <w:bottom w:val="none" w:sz="0" w:space="0" w:color="auto"/>
        <w:right w:val="none" w:sz="0" w:space="0" w:color="auto"/>
      </w:divBdr>
    </w:div>
    <w:div w:id="434516734">
      <w:bodyDiv w:val="1"/>
      <w:marLeft w:val="0"/>
      <w:marRight w:val="0"/>
      <w:marTop w:val="0"/>
      <w:marBottom w:val="0"/>
      <w:divBdr>
        <w:top w:val="none" w:sz="0" w:space="0" w:color="auto"/>
        <w:left w:val="none" w:sz="0" w:space="0" w:color="auto"/>
        <w:bottom w:val="none" w:sz="0" w:space="0" w:color="auto"/>
        <w:right w:val="none" w:sz="0" w:space="0" w:color="auto"/>
      </w:divBdr>
      <w:divsChild>
        <w:div w:id="1291277462">
          <w:marLeft w:val="0"/>
          <w:marRight w:val="0"/>
          <w:marTop w:val="0"/>
          <w:marBottom w:val="0"/>
          <w:divBdr>
            <w:top w:val="none" w:sz="0" w:space="0" w:color="auto"/>
            <w:left w:val="none" w:sz="0" w:space="0" w:color="auto"/>
            <w:bottom w:val="none" w:sz="0" w:space="0" w:color="auto"/>
            <w:right w:val="none" w:sz="0" w:space="0" w:color="auto"/>
          </w:divBdr>
          <w:divsChild>
            <w:div w:id="1506434964">
              <w:marLeft w:val="0"/>
              <w:marRight w:val="0"/>
              <w:marTop w:val="0"/>
              <w:marBottom w:val="0"/>
              <w:divBdr>
                <w:top w:val="none" w:sz="0" w:space="0" w:color="auto"/>
                <w:left w:val="none" w:sz="0" w:space="0" w:color="auto"/>
                <w:bottom w:val="none" w:sz="0" w:space="0" w:color="auto"/>
                <w:right w:val="none" w:sz="0" w:space="0" w:color="auto"/>
              </w:divBdr>
              <w:divsChild>
                <w:div w:id="384716434">
                  <w:marLeft w:val="0"/>
                  <w:marRight w:val="0"/>
                  <w:marTop w:val="0"/>
                  <w:marBottom w:val="600"/>
                  <w:divBdr>
                    <w:top w:val="none" w:sz="0" w:space="0" w:color="auto"/>
                    <w:left w:val="none" w:sz="0" w:space="0" w:color="auto"/>
                    <w:bottom w:val="none" w:sz="0" w:space="0" w:color="auto"/>
                    <w:right w:val="none" w:sz="0" w:space="0" w:color="auto"/>
                  </w:divBdr>
                  <w:divsChild>
                    <w:div w:id="175323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999104">
      <w:bodyDiv w:val="1"/>
      <w:marLeft w:val="0"/>
      <w:marRight w:val="0"/>
      <w:marTop w:val="0"/>
      <w:marBottom w:val="0"/>
      <w:divBdr>
        <w:top w:val="none" w:sz="0" w:space="0" w:color="auto"/>
        <w:left w:val="none" w:sz="0" w:space="0" w:color="auto"/>
        <w:bottom w:val="none" w:sz="0" w:space="0" w:color="auto"/>
        <w:right w:val="none" w:sz="0" w:space="0" w:color="auto"/>
      </w:divBdr>
    </w:div>
    <w:div w:id="614991212">
      <w:bodyDiv w:val="1"/>
      <w:marLeft w:val="0"/>
      <w:marRight w:val="0"/>
      <w:marTop w:val="0"/>
      <w:marBottom w:val="0"/>
      <w:divBdr>
        <w:top w:val="none" w:sz="0" w:space="0" w:color="auto"/>
        <w:left w:val="none" w:sz="0" w:space="0" w:color="auto"/>
        <w:bottom w:val="none" w:sz="0" w:space="0" w:color="auto"/>
        <w:right w:val="none" w:sz="0" w:space="0" w:color="auto"/>
      </w:divBdr>
    </w:div>
    <w:div w:id="871645994">
      <w:bodyDiv w:val="1"/>
      <w:marLeft w:val="0"/>
      <w:marRight w:val="0"/>
      <w:marTop w:val="0"/>
      <w:marBottom w:val="0"/>
      <w:divBdr>
        <w:top w:val="none" w:sz="0" w:space="0" w:color="auto"/>
        <w:left w:val="none" w:sz="0" w:space="0" w:color="auto"/>
        <w:bottom w:val="none" w:sz="0" w:space="0" w:color="auto"/>
        <w:right w:val="none" w:sz="0" w:space="0" w:color="auto"/>
      </w:divBdr>
      <w:divsChild>
        <w:div w:id="1301422437">
          <w:marLeft w:val="0"/>
          <w:marRight w:val="0"/>
          <w:marTop w:val="0"/>
          <w:marBottom w:val="0"/>
          <w:divBdr>
            <w:top w:val="none" w:sz="0" w:space="0" w:color="auto"/>
            <w:left w:val="none" w:sz="0" w:space="0" w:color="auto"/>
            <w:bottom w:val="none" w:sz="0" w:space="0" w:color="auto"/>
            <w:right w:val="none" w:sz="0" w:space="0" w:color="auto"/>
          </w:divBdr>
          <w:divsChild>
            <w:div w:id="1182628401">
              <w:marLeft w:val="0"/>
              <w:marRight w:val="0"/>
              <w:marTop w:val="0"/>
              <w:marBottom w:val="0"/>
              <w:divBdr>
                <w:top w:val="none" w:sz="0" w:space="0" w:color="auto"/>
                <w:left w:val="none" w:sz="0" w:space="0" w:color="auto"/>
                <w:bottom w:val="none" w:sz="0" w:space="0" w:color="auto"/>
                <w:right w:val="none" w:sz="0" w:space="0" w:color="auto"/>
              </w:divBdr>
              <w:divsChild>
                <w:div w:id="786848880">
                  <w:marLeft w:val="0"/>
                  <w:marRight w:val="0"/>
                  <w:marTop w:val="0"/>
                  <w:marBottom w:val="600"/>
                  <w:divBdr>
                    <w:top w:val="none" w:sz="0" w:space="0" w:color="auto"/>
                    <w:left w:val="none" w:sz="0" w:space="0" w:color="auto"/>
                    <w:bottom w:val="none" w:sz="0" w:space="0" w:color="auto"/>
                    <w:right w:val="none" w:sz="0" w:space="0" w:color="auto"/>
                  </w:divBdr>
                  <w:divsChild>
                    <w:div w:id="86104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384169">
      <w:bodyDiv w:val="1"/>
      <w:marLeft w:val="0"/>
      <w:marRight w:val="0"/>
      <w:marTop w:val="0"/>
      <w:marBottom w:val="0"/>
      <w:divBdr>
        <w:top w:val="none" w:sz="0" w:space="0" w:color="auto"/>
        <w:left w:val="none" w:sz="0" w:space="0" w:color="auto"/>
        <w:bottom w:val="none" w:sz="0" w:space="0" w:color="auto"/>
        <w:right w:val="none" w:sz="0" w:space="0" w:color="auto"/>
      </w:divBdr>
    </w:div>
    <w:div w:id="1200779932">
      <w:bodyDiv w:val="1"/>
      <w:marLeft w:val="0"/>
      <w:marRight w:val="0"/>
      <w:marTop w:val="0"/>
      <w:marBottom w:val="0"/>
      <w:divBdr>
        <w:top w:val="none" w:sz="0" w:space="0" w:color="auto"/>
        <w:left w:val="none" w:sz="0" w:space="0" w:color="auto"/>
        <w:bottom w:val="none" w:sz="0" w:space="0" w:color="auto"/>
        <w:right w:val="none" w:sz="0" w:space="0" w:color="auto"/>
      </w:divBdr>
    </w:div>
    <w:div w:id="1241406947">
      <w:bodyDiv w:val="1"/>
      <w:marLeft w:val="0"/>
      <w:marRight w:val="0"/>
      <w:marTop w:val="0"/>
      <w:marBottom w:val="0"/>
      <w:divBdr>
        <w:top w:val="none" w:sz="0" w:space="0" w:color="auto"/>
        <w:left w:val="none" w:sz="0" w:space="0" w:color="auto"/>
        <w:bottom w:val="none" w:sz="0" w:space="0" w:color="auto"/>
        <w:right w:val="none" w:sz="0" w:space="0" w:color="auto"/>
      </w:divBdr>
    </w:div>
    <w:div w:id="1407649972">
      <w:bodyDiv w:val="1"/>
      <w:marLeft w:val="0"/>
      <w:marRight w:val="0"/>
      <w:marTop w:val="0"/>
      <w:marBottom w:val="0"/>
      <w:divBdr>
        <w:top w:val="none" w:sz="0" w:space="0" w:color="auto"/>
        <w:left w:val="none" w:sz="0" w:space="0" w:color="auto"/>
        <w:bottom w:val="none" w:sz="0" w:space="0" w:color="auto"/>
        <w:right w:val="none" w:sz="0" w:space="0" w:color="auto"/>
      </w:divBdr>
    </w:div>
    <w:div w:id="1493520998">
      <w:bodyDiv w:val="1"/>
      <w:marLeft w:val="0"/>
      <w:marRight w:val="0"/>
      <w:marTop w:val="0"/>
      <w:marBottom w:val="0"/>
      <w:divBdr>
        <w:top w:val="none" w:sz="0" w:space="0" w:color="auto"/>
        <w:left w:val="none" w:sz="0" w:space="0" w:color="auto"/>
        <w:bottom w:val="none" w:sz="0" w:space="0" w:color="auto"/>
        <w:right w:val="none" w:sz="0" w:space="0" w:color="auto"/>
      </w:divBdr>
    </w:div>
    <w:div w:id="1674530432">
      <w:bodyDiv w:val="1"/>
      <w:marLeft w:val="0"/>
      <w:marRight w:val="0"/>
      <w:marTop w:val="0"/>
      <w:marBottom w:val="0"/>
      <w:divBdr>
        <w:top w:val="none" w:sz="0" w:space="0" w:color="auto"/>
        <w:left w:val="none" w:sz="0" w:space="0" w:color="auto"/>
        <w:bottom w:val="none" w:sz="0" w:space="0" w:color="auto"/>
        <w:right w:val="none" w:sz="0" w:space="0" w:color="auto"/>
      </w:divBdr>
      <w:divsChild>
        <w:div w:id="570508722">
          <w:marLeft w:val="0"/>
          <w:marRight w:val="0"/>
          <w:marTop w:val="0"/>
          <w:marBottom w:val="0"/>
          <w:divBdr>
            <w:top w:val="none" w:sz="0" w:space="0" w:color="auto"/>
            <w:left w:val="none" w:sz="0" w:space="0" w:color="auto"/>
            <w:bottom w:val="none" w:sz="0" w:space="0" w:color="auto"/>
            <w:right w:val="none" w:sz="0" w:space="0" w:color="auto"/>
          </w:divBdr>
          <w:divsChild>
            <w:div w:id="459961463">
              <w:marLeft w:val="0"/>
              <w:marRight w:val="0"/>
              <w:marTop w:val="0"/>
              <w:marBottom w:val="0"/>
              <w:divBdr>
                <w:top w:val="none" w:sz="0" w:space="0" w:color="auto"/>
                <w:left w:val="none" w:sz="0" w:space="0" w:color="auto"/>
                <w:bottom w:val="none" w:sz="0" w:space="0" w:color="auto"/>
                <w:right w:val="none" w:sz="0" w:space="0" w:color="auto"/>
              </w:divBdr>
              <w:divsChild>
                <w:div w:id="1901937442">
                  <w:marLeft w:val="0"/>
                  <w:marRight w:val="0"/>
                  <w:marTop w:val="0"/>
                  <w:marBottom w:val="600"/>
                  <w:divBdr>
                    <w:top w:val="none" w:sz="0" w:space="0" w:color="auto"/>
                    <w:left w:val="none" w:sz="0" w:space="0" w:color="auto"/>
                    <w:bottom w:val="none" w:sz="0" w:space="0" w:color="auto"/>
                    <w:right w:val="none" w:sz="0" w:space="0" w:color="auto"/>
                  </w:divBdr>
                  <w:divsChild>
                    <w:div w:id="2949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761644">
      <w:bodyDiv w:val="1"/>
      <w:marLeft w:val="0"/>
      <w:marRight w:val="0"/>
      <w:marTop w:val="0"/>
      <w:marBottom w:val="0"/>
      <w:divBdr>
        <w:top w:val="none" w:sz="0" w:space="0" w:color="auto"/>
        <w:left w:val="none" w:sz="0" w:space="0" w:color="auto"/>
        <w:bottom w:val="none" w:sz="0" w:space="0" w:color="auto"/>
        <w:right w:val="none" w:sz="0" w:space="0" w:color="auto"/>
      </w:divBdr>
      <w:divsChild>
        <w:div w:id="481236706">
          <w:marLeft w:val="0"/>
          <w:marRight w:val="0"/>
          <w:marTop w:val="0"/>
          <w:marBottom w:val="0"/>
          <w:divBdr>
            <w:top w:val="none" w:sz="0" w:space="0" w:color="auto"/>
            <w:left w:val="none" w:sz="0" w:space="0" w:color="auto"/>
            <w:bottom w:val="none" w:sz="0" w:space="0" w:color="auto"/>
            <w:right w:val="none" w:sz="0" w:space="0" w:color="auto"/>
          </w:divBdr>
          <w:divsChild>
            <w:div w:id="1545212890">
              <w:marLeft w:val="0"/>
              <w:marRight w:val="0"/>
              <w:marTop w:val="0"/>
              <w:marBottom w:val="0"/>
              <w:divBdr>
                <w:top w:val="none" w:sz="0" w:space="0" w:color="auto"/>
                <w:left w:val="none" w:sz="0" w:space="0" w:color="auto"/>
                <w:bottom w:val="none" w:sz="0" w:space="0" w:color="auto"/>
                <w:right w:val="none" w:sz="0" w:space="0" w:color="auto"/>
              </w:divBdr>
              <w:divsChild>
                <w:div w:id="1369330389">
                  <w:marLeft w:val="0"/>
                  <w:marRight w:val="0"/>
                  <w:marTop w:val="0"/>
                  <w:marBottom w:val="600"/>
                  <w:divBdr>
                    <w:top w:val="none" w:sz="0" w:space="0" w:color="auto"/>
                    <w:left w:val="none" w:sz="0" w:space="0" w:color="auto"/>
                    <w:bottom w:val="none" w:sz="0" w:space="0" w:color="auto"/>
                    <w:right w:val="none" w:sz="0" w:space="0" w:color="auto"/>
                  </w:divBdr>
                  <w:divsChild>
                    <w:div w:id="198142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126800">
      <w:bodyDiv w:val="1"/>
      <w:marLeft w:val="0"/>
      <w:marRight w:val="0"/>
      <w:marTop w:val="0"/>
      <w:marBottom w:val="0"/>
      <w:divBdr>
        <w:top w:val="none" w:sz="0" w:space="0" w:color="auto"/>
        <w:left w:val="none" w:sz="0" w:space="0" w:color="auto"/>
        <w:bottom w:val="none" w:sz="0" w:space="0" w:color="auto"/>
        <w:right w:val="none" w:sz="0" w:space="0" w:color="auto"/>
      </w:divBdr>
    </w:div>
    <w:div w:id="210942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3EF277-37F0-485C-A3B6-5904865DB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955</Words>
  <Characters>5447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__________, 2009</vt:lpstr>
    </vt:vector>
  </TitlesOfParts>
  <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 2009</dc:title>
  <dc:subject/>
  <dc:creator>KELLY_R</dc:creator>
  <cp:keywords/>
  <cp:lastModifiedBy>Daniel Hinckley</cp:lastModifiedBy>
  <cp:revision>2</cp:revision>
  <cp:lastPrinted>2024-02-09T15:17:00Z</cp:lastPrinted>
  <dcterms:created xsi:type="dcterms:W3CDTF">2024-02-26T18:43:00Z</dcterms:created>
  <dcterms:modified xsi:type="dcterms:W3CDTF">2024-02-26T18:43:00Z</dcterms:modified>
</cp:coreProperties>
</file>